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CE50CA" w:rsidRPr="00EE535D" w:rsidTr="00CE50CA">
        <w:trPr>
          <w:trHeight w:val="1984"/>
        </w:trPr>
        <w:tc>
          <w:tcPr>
            <w:tcW w:w="9212" w:type="dxa"/>
            <w:shd w:val="clear" w:color="auto" w:fill="C6D9F1" w:themeFill="text2" w:themeFillTint="33"/>
          </w:tcPr>
          <w:p w:rsidR="00CE50CA" w:rsidRDefault="00CE50CA" w:rsidP="00CE50CA">
            <w:pPr>
              <w:jc w:val="center"/>
              <w:rPr>
                <w:lang w:val="en-US"/>
              </w:rPr>
            </w:pPr>
          </w:p>
          <w:p w:rsidR="00CE50CA" w:rsidRDefault="00CE50CA" w:rsidP="00CE50CA">
            <w:pPr>
              <w:jc w:val="center"/>
              <w:rPr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90600" cy="942975"/>
                  <wp:effectExtent l="19050" t="0" r="0" b="0"/>
                  <wp:docPr id="3" name="Image 1" descr="R-TEAM-NB-Logo-2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-TEAM-NB-Logo-2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0CA" w:rsidRDefault="00A66A02" w:rsidP="00A66A02">
            <w:pPr>
              <w:jc w:val="center"/>
              <w:rPr>
                <w:lang w:val="en-US"/>
              </w:rPr>
            </w:pPr>
            <w:r w:rsidRPr="00E63535">
              <w:rPr>
                <w:b/>
                <w:color w:val="333399"/>
                <w:sz w:val="28"/>
                <w:lang w:val="en-GB"/>
              </w:rPr>
              <w:t>The European Association for Medical Devices of Notified Bodies</w:t>
            </w:r>
          </w:p>
        </w:tc>
      </w:tr>
    </w:tbl>
    <w:p w:rsidR="000C2756" w:rsidRPr="00E63535" w:rsidRDefault="000C2756" w:rsidP="000C2756">
      <w:pPr>
        <w:jc w:val="center"/>
        <w:rPr>
          <w:b/>
          <w:color w:val="333399"/>
          <w:sz w:val="28"/>
          <w:lang w:val="en-GB"/>
        </w:rPr>
      </w:pPr>
    </w:p>
    <w:p w:rsidR="000C2756" w:rsidRPr="00A66A02" w:rsidRDefault="000C2756" w:rsidP="00A66A0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color w:val="333399"/>
          <w:sz w:val="28"/>
          <w:lang w:val="en-GB"/>
        </w:rPr>
      </w:pPr>
      <w:r w:rsidRPr="00A66A02">
        <w:rPr>
          <w:b/>
          <w:color w:val="333399"/>
          <w:sz w:val="28"/>
          <w:lang w:val="en-GB"/>
        </w:rPr>
        <w:t xml:space="preserve">European Medical Device </w:t>
      </w:r>
      <w:r w:rsidR="002B7ACF" w:rsidRPr="00A66A02">
        <w:rPr>
          <w:b/>
          <w:color w:val="333399"/>
          <w:sz w:val="28"/>
          <w:lang w:val="en-GB"/>
        </w:rPr>
        <w:t>Notified Bodies</w:t>
      </w:r>
      <w:r w:rsidRPr="00A66A02">
        <w:rPr>
          <w:b/>
          <w:color w:val="333399"/>
          <w:sz w:val="28"/>
          <w:lang w:val="en-GB"/>
        </w:rPr>
        <w:t xml:space="preserve"> Statement on</w:t>
      </w:r>
    </w:p>
    <w:p w:rsidR="000C2756" w:rsidRPr="00A66A02" w:rsidRDefault="000C2756" w:rsidP="00A66A0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color w:val="333399"/>
          <w:sz w:val="28"/>
          <w:lang w:val="en-GB"/>
        </w:rPr>
      </w:pPr>
      <w:r w:rsidRPr="00A66A02">
        <w:rPr>
          <w:b/>
          <w:color w:val="333399"/>
          <w:sz w:val="28"/>
          <w:lang w:val="en-GB"/>
        </w:rPr>
        <w:t>European Medical Device Regulatory Regime</w:t>
      </w:r>
    </w:p>
    <w:p w:rsidR="000C2756" w:rsidRPr="00A66A02" w:rsidRDefault="000C2756">
      <w:pPr>
        <w:rPr>
          <w:color w:val="333399"/>
          <w:szCs w:val="24"/>
          <w:lang w:val="en-GB"/>
        </w:rPr>
      </w:pPr>
    </w:p>
    <w:p w:rsidR="002B7ACF" w:rsidRDefault="002B7ACF" w:rsidP="00A66A02">
      <w:pPr>
        <w:rPr>
          <w:color w:val="333399"/>
          <w:szCs w:val="24"/>
          <w:lang w:val="en-GB"/>
        </w:rPr>
      </w:pPr>
      <w:r w:rsidRPr="00A66A02">
        <w:rPr>
          <w:color w:val="333399"/>
          <w:szCs w:val="24"/>
          <w:lang w:val="en-GB"/>
        </w:rPr>
        <w:t xml:space="preserve">The European Association for Medical Devices of Notified Bodies strongly condemn </w:t>
      </w:r>
      <w:r w:rsidR="00970607" w:rsidRPr="00A66A02">
        <w:rPr>
          <w:color w:val="333399"/>
          <w:szCs w:val="24"/>
          <w:lang w:val="en-GB"/>
        </w:rPr>
        <w:t>th</w:t>
      </w:r>
      <w:r w:rsidR="00EE535D">
        <w:rPr>
          <w:color w:val="333399"/>
          <w:szCs w:val="24"/>
          <w:lang w:val="en-GB"/>
        </w:rPr>
        <w:t>e behaviour of the medical device manufacturer</w:t>
      </w:r>
      <w:r w:rsidR="00970607" w:rsidRPr="00A66A02">
        <w:rPr>
          <w:color w:val="333399"/>
          <w:szCs w:val="24"/>
          <w:lang w:val="en-GB"/>
        </w:rPr>
        <w:t xml:space="preserve"> P</w:t>
      </w:r>
      <w:r w:rsidR="00EE535D">
        <w:rPr>
          <w:color w:val="333399"/>
          <w:szCs w:val="24"/>
          <w:lang w:val="en-GB"/>
        </w:rPr>
        <w:t>oly Implant Prothèse (PIP in committing deliberate  fraud which led</w:t>
      </w:r>
      <w:r w:rsidR="00970607" w:rsidRPr="00A66A02">
        <w:rPr>
          <w:color w:val="333399"/>
          <w:szCs w:val="24"/>
          <w:lang w:val="en-GB"/>
        </w:rPr>
        <w:t xml:space="preserve"> to high and unacceptable safety risks for patient</w:t>
      </w:r>
      <w:r w:rsidR="00EE535D">
        <w:rPr>
          <w:color w:val="333399"/>
          <w:szCs w:val="24"/>
          <w:lang w:val="en-GB"/>
        </w:rPr>
        <w:t>s</w:t>
      </w:r>
      <w:r w:rsidR="00A66A02" w:rsidRPr="00A66A02">
        <w:rPr>
          <w:color w:val="333399"/>
          <w:szCs w:val="24"/>
          <w:lang w:val="en-GB"/>
        </w:rPr>
        <w:t>.</w:t>
      </w:r>
      <w:r w:rsidR="00A66A02">
        <w:rPr>
          <w:color w:val="333399"/>
          <w:szCs w:val="24"/>
          <w:lang w:val="en-GB"/>
        </w:rPr>
        <w:t xml:space="preserve"> </w:t>
      </w:r>
      <w:r w:rsidR="00EE535D">
        <w:rPr>
          <w:color w:val="333399"/>
          <w:szCs w:val="24"/>
          <w:lang w:val="en-GB"/>
        </w:rPr>
        <w:t>This case should serve</w:t>
      </w:r>
      <w:r w:rsidR="00A66A02" w:rsidRPr="00A66A02">
        <w:rPr>
          <w:color w:val="333399"/>
          <w:szCs w:val="24"/>
          <w:lang w:val="en-GB"/>
        </w:rPr>
        <w:t xml:space="preserve"> as a stimulant to furthe</w:t>
      </w:r>
      <w:r w:rsidR="00EE535D">
        <w:rPr>
          <w:color w:val="333399"/>
          <w:szCs w:val="24"/>
          <w:lang w:val="en-GB"/>
        </w:rPr>
        <w:t>r improve the system of conformity assessment and surveillance of manufacturers by Notified Bodies as p</w:t>
      </w:r>
      <w:r w:rsidRPr="00A66A02">
        <w:rPr>
          <w:color w:val="333399"/>
          <w:szCs w:val="24"/>
          <w:lang w:val="en-GB"/>
        </w:rPr>
        <w:t>atient safety, public confide</w:t>
      </w:r>
      <w:r w:rsidR="00EE535D">
        <w:rPr>
          <w:color w:val="333399"/>
          <w:szCs w:val="24"/>
          <w:lang w:val="en-GB"/>
        </w:rPr>
        <w:t>nce, and ethical behaviour have always been the top priority of  TEAM-NB</w:t>
      </w:r>
      <w:r w:rsidR="00A66A02" w:rsidRPr="00A66A02">
        <w:rPr>
          <w:color w:val="333399"/>
          <w:szCs w:val="24"/>
          <w:lang w:val="en-GB"/>
        </w:rPr>
        <w:t xml:space="preserve"> members</w:t>
      </w:r>
      <w:r w:rsidRPr="00A66A02">
        <w:rPr>
          <w:color w:val="333399"/>
          <w:szCs w:val="24"/>
          <w:lang w:val="en-GB"/>
        </w:rPr>
        <w:t>.</w:t>
      </w:r>
    </w:p>
    <w:p w:rsidR="00B069BD" w:rsidRPr="00A66A02" w:rsidRDefault="00B069BD" w:rsidP="00A66A02">
      <w:pPr>
        <w:rPr>
          <w:color w:val="333399"/>
          <w:szCs w:val="24"/>
          <w:lang w:val="en-GB"/>
        </w:rPr>
      </w:pPr>
    </w:p>
    <w:p w:rsidR="002B7ACF" w:rsidRDefault="00EE535D" w:rsidP="00A66A02">
      <w:pPr>
        <w:rPr>
          <w:color w:val="333399"/>
          <w:szCs w:val="24"/>
          <w:lang w:val="en-GB"/>
        </w:rPr>
      </w:pPr>
      <w:r>
        <w:rPr>
          <w:color w:val="333399"/>
          <w:szCs w:val="24"/>
          <w:lang w:val="en-GB"/>
        </w:rPr>
        <w:t>Team-NB fully supports</w:t>
      </w:r>
      <w:r w:rsidR="002B7ACF" w:rsidRPr="00A66A02">
        <w:rPr>
          <w:color w:val="333399"/>
          <w:szCs w:val="24"/>
          <w:lang w:val="en-GB"/>
        </w:rPr>
        <w:t xml:space="preserve"> the European Commission’s</w:t>
      </w:r>
      <w:r>
        <w:rPr>
          <w:color w:val="333399"/>
          <w:szCs w:val="24"/>
          <w:lang w:val="en-GB"/>
        </w:rPr>
        <w:t xml:space="preserve"> plan</w:t>
      </w:r>
      <w:r w:rsidR="002B7ACF" w:rsidRPr="00A66A02">
        <w:rPr>
          <w:color w:val="333399"/>
          <w:szCs w:val="24"/>
          <w:lang w:val="en-GB"/>
        </w:rPr>
        <w:t xml:space="preserve"> to </w:t>
      </w:r>
      <w:r>
        <w:rPr>
          <w:color w:val="333399"/>
          <w:szCs w:val="24"/>
          <w:lang w:val="en-GB"/>
        </w:rPr>
        <w:t xml:space="preserve">implement immediate measures and at the same time </w:t>
      </w:r>
      <w:r w:rsidR="002B7ACF" w:rsidRPr="00A66A02">
        <w:rPr>
          <w:color w:val="333399"/>
          <w:szCs w:val="24"/>
          <w:lang w:val="en-GB"/>
        </w:rPr>
        <w:t>strengthen the Europe</w:t>
      </w:r>
      <w:r>
        <w:rPr>
          <w:color w:val="333399"/>
          <w:szCs w:val="24"/>
          <w:lang w:val="en-GB"/>
        </w:rPr>
        <w:t>an medical devices legislation for the future</w:t>
      </w:r>
    </w:p>
    <w:p w:rsidR="00B069BD" w:rsidRPr="00A66A02" w:rsidRDefault="00B069BD" w:rsidP="00A66A02">
      <w:pPr>
        <w:rPr>
          <w:color w:val="333399"/>
          <w:szCs w:val="24"/>
          <w:lang w:val="en-GB"/>
        </w:rPr>
      </w:pPr>
    </w:p>
    <w:p w:rsidR="00C031A5" w:rsidRDefault="00C031A5" w:rsidP="00A66A02">
      <w:pPr>
        <w:rPr>
          <w:color w:val="333399"/>
          <w:szCs w:val="24"/>
          <w:lang w:val="en-GB"/>
        </w:rPr>
      </w:pPr>
      <w:r w:rsidRPr="00A66A02">
        <w:rPr>
          <w:color w:val="333399"/>
          <w:szCs w:val="24"/>
          <w:lang w:val="en-GB"/>
        </w:rPr>
        <w:t xml:space="preserve">Team-NB has a firm belief that the </w:t>
      </w:r>
      <w:r w:rsidR="005636A8">
        <w:rPr>
          <w:color w:val="333399"/>
          <w:szCs w:val="24"/>
          <w:lang w:val="en-GB"/>
        </w:rPr>
        <w:t>principles enshrined in the  current EU conformity assessment</w:t>
      </w:r>
      <w:r w:rsidRPr="00A66A02">
        <w:rPr>
          <w:color w:val="333399"/>
          <w:szCs w:val="24"/>
          <w:lang w:val="en-GB"/>
        </w:rPr>
        <w:t xml:space="preserve"> of medical devices </w:t>
      </w:r>
      <w:r w:rsidR="005636A8">
        <w:rPr>
          <w:color w:val="333399"/>
          <w:szCs w:val="24"/>
          <w:lang w:val="en-GB"/>
        </w:rPr>
        <w:t>can deliver an effective and efficient system combining</w:t>
      </w:r>
      <w:r w:rsidRPr="00A66A02">
        <w:rPr>
          <w:color w:val="333399"/>
          <w:szCs w:val="24"/>
          <w:lang w:val="en-GB"/>
        </w:rPr>
        <w:t xml:space="preserve"> direct Competent Authority market surveillance wit</w:t>
      </w:r>
      <w:r w:rsidR="005636A8">
        <w:rPr>
          <w:color w:val="333399"/>
          <w:szCs w:val="24"/>
          <w:lang w:val="en-GB"/>
        </w:rPr>
        <w:t>h elements of pre-market technical documentation  review and on site</w:t>
      </w:r>
      <w:r w:rsidRPr="00A66A02">
        <w:rPr>
          <w:color w:val="333399"/>
          <w:szCs w:val="24"/>
          <w:lang w:val="en-GB"/>
        </w:rPr>
        <w:t xml:space="preserve"> surveillance in ann</w:t>
      </w:r>
      <w:r w:rsidR="00B069BD">
        <w:rPr>
          <w:color w:val="333399"/>
          <w:szCs w:val="24"/>
          <w:lang w:val="en-GB"/>
        </w:rPr>
        <w:t>ual audits by Notified Bodies.</w:t>
      </w:r>
    </w:p>
    <w:p w:rsidR="00B069BD" w:rsidRPr="00A66A02" w:rsidRDefault="00B069BD" w:rsidP="00A66A02">
      <w:pPr>
        <w:rPr>
          <w:color w:val="333399"/>
          <w:szCs w:val="24"/>
          <w:lang w:val="en-GB"/>
        </w:rPr>
      </w:pPr>
    </w:p>
    <w:p w:rsidR="00814020" w:rsidRPr="00A66A02" w:rsidRDefault="00C031A5" w:rsidP="00A66A02">
      <w:pPr>
        <w:rPr>
          <w:color w:val="333399"/>
          <w:szCs w:val="24"/>
          <w:lang w:val="en-GB"/>
        </w:rPr>
      </w:pPr>
      <w:r w:rsidRPr="00A66A02">
        <w:rPr>
          <w:color w:val="333399"/>
          <w:szCs w:val="24"/>
          <w:lang w:val="en-GB"/>
        </w:rPr>
        <w:t xml:space="preserve">Team-NB </w:t>
      </w:r>
      <w:r w:rsidR="002B7ACF" w:rsidRPr="00A66A02">
        <w:rPr>
          <w:color w:val="333399"/>
          <w:szCs w:val="24"/>
          <w:lang w:val="en-GB"/>
        </w:rPr>
        <w:t xml:space="preserve">recognises </w:t>
      </w:r>
      <w:r w:rsidRPr="00A66A02">
        <w:rPr>
          <w:color w:val="333399"/>
          <w:szCs w:val="24"/>
          <w:lang w:val="en-GB"/>
        </w:rPr>
        <w:t xml:space="preserve">the need for </w:t>
      </w:r>
      <w:r w:rsidR="005636A8">
        <w:rPr>
          <w:color w:val="333399"/>
          <w:szCs w:val="24"/>
          <w:lang w:val="en-GB"/>
        </w:rPr>
        <w:t>some areas of improvement in</w:t>
      </w:r>
      <w:r w:rsidR="002B7ACF" w:rsidRPr="00A66A02">
        <w:rPr>
          <w:color w:val="333399"/>
          <w:szCs w:val="24"/>
          <w:lang w:val="en-GB"/>
        </w:rPr>
        <w:t xml:space="preserve"> the current European regulatory framework for medical device</w:t>
      </w:r>
      <w:r w:rsidR="005636A8">
        <w:rPr>
          <w:color w:val="333399"/>
          <w:szCs w:val="24"/>
          <w:lang w:val="en-GB"/>
        </w:rPr>
        <w:t>:</w:t>
      </w:r>
      <w:r w:rsidR="002B7ACF" w:rsidRPr="00A66A02">
        <w:rPr>
          <w:color w:val="333399"/>
          <w:szCs w:val="24"/>
          <w:lang w:val="en-GB"/>
        </w:rPr>
        <w:t xml:space="preserve"> </w:t>
      </w:r>
      <w:r w:rsidR="00970607" w:rsidRPr="00A66A02">
        <w:rPr>
          <w:color w:val="333399"/>
          <w:szCs w:val="24"/>
          <w:lang w:val="en-GB"/>
        </w:rPr>
        <w:t xml:space="preserve">harmonization of the </w:t>
      </w:r>
      <w:r w:rsidR="005636A8">
        <w:rPr>
          <w:color w:val="333399"/>
          <w:szCs w:val="24"/>
          <w:lang w:val="en-GB"/>
        </w:rPr>
        <w:t>supervision of the work of Notified Bodies</w:t>
      </w:r>
      <w:r w:rsidR="00970607" w:rsidRPr="00A66A02">
        <w:rPr>
          <w:color w:val="333399"/>
          <w:szCs w:val="24"/>
          <w:lang w:val="en-GB"/>
        </w:rPr>
        <w:t xml:space="preserve"> </w:t>
      </w:r>
      <w:r w:rsidR="005636A8">
        <w:rPr>
          <w:color w:val="333399"/>
          <w:szCs w:val="24"/>
          <w:lang w:val="en-GB"/>
        </w:rPr>
        <w:t>;</w:t>
      </w:r>
      <w:r w:rsidR="00970607" w:rsidRPr="00A66A02">
        <w:rPr>
          <w:color w:val="333399"/>
          <w:szCs w:val="24"/>
          <w:lang w:val="en-GB"/>
        </w:rPr>
        <w:t xml:space="preserve"> </w:t>
      </w:r>
      <w:r w:rsidR="005636A8">
        <w:rPr>
          <w:color w:val="333399"/>
          <w:szCs w:val="24"/>
          <w:lang w:val="en-GB"/>
        </w:rPr>
        <w:t>Product Responsible Person;</w:t>
      </w:r>
      <w:r w:rsidR="00A66A02" w:rsidRPr="00A66A02">
        <w:rPr>
          <w:color w:val="333399"/>
          <w:szCs w:val="24"/>
          <w:lang w:val="en-GB"/>
        </w:rPr>
        <w:t xml:space="preserve"> </w:t>
      </w:r>
      <w:r w:rsidR="00A66A02">
        <w:rPr>
          <w:color w:val="333399"/>
          <w:szCs w:val="24"/>
          <w:lang w:val="en-GB"/>
        </w:rPr>
        <w:t>a</w:t>
      </w:r>
      <w:r w:rsidR="00814020" w:rsidRPr="00A66A02">
        <w:rPr>
          <w:color w:val="333399"/>
          <w:szCs w:val="24"/>
          <w:lang w:val="en-GB"/>
        </w:rPr>
        <w:t>ccess to Post Market Surveillance data</w:t>
      </w:r>
      <w:r w:rsidR="00A66A02">
        <w:rPr>
          <w:color w:val="333399"/>
          <w:szCs w:val="24"/>
          <w:lang w:val="en-GB"/>
        </w:rPr>
        <w:t xml:space="preserve">, </w:t>
      </w:r>
      <w:r w:rsidR="00814020" w:rsidRPr="00A66A02">
        <w:rPr>
          <w:color w:val="333399"/>
          <w:szCs w:val="24"/>
          <w:lang w:val="en-GB"/>
        </w:rPr>
        <w:t xml:space="preserve">content </w:t>
      </w:r>
      <w:r w:rsidR="00A66A02">
        <w:rPr>
          <w:color w:val="333399"/>
          <w:szCs w:val="24"/>
          <w:lang w:val="en-GB"/>
        </w:rPr>
        <w:t>c</w:t>
      </w:r>
      <w:r w:rsidR="00A66A02" w:rsidRPr="00A66A02">
        <w:rPr>
          <w:color w:val="333399"/>
          <w:szCs w:val="24"/>
          <w:lang w:val="en-GB"/>
        </w:rPr>
        <w:t xml:space="preserve">larification </w:t>
      </w:r>
      <w:r w:rsidR="00814020" w:rsidRPr="00A66A02">
        <w:rPr>
          <w:color w:val="333399"/>
          <w:szCs w:val="24"/>
          <w:lang w:val="en-GB"/>
        </w:rPr>
        <w:t xml:space="preserve">of technical file </w:t>
      </w:r>
      <w:r w:rsidR="005636A8">
        <w:rPr>
          <w:color w:val="333399"/>
          <w:szCs w:val="24"/>
          <w:lang w:val="en-GB"/>
        </w:rPr>
        <w:t>in the legislation;</w:t>
      </w:r>
      <w:r w:rsidR="00A66A02" w:rsidRPr="00A66A02">
        <w:rPr>
          <w:color w:val="333399"/>
          <w:szCs w:val="24"/>
          <w:lang w:val="en-GB"/>
        </w:rPr>
        <w:t xml:space="preserve"> </w:t>
      </w:r>
      <w:r w:rsidR="00A66A02">
        <w:rPr>
          <w:color w:val="333399"/>
          <w:szCs w:val="24"/>
          <w:lang w:val="en-GB"/>
        </w:rPr>
        <w:t>p</w:t>
      </w:r>
      <w:r w:rsidR="005636A8">
        <w:rPr>
          <w:color w:val="333399"/>
          <w:szCs w:val="24"/>
          <w:lang w:val="en-GB"/>
        </w:rPr>
        <w:t>roduct inspection;</w:t>
      </w:r>
      <w:r w:rsidR="00A66A02" w:rsidRPr="00A66A02">
        <w:rPr>
          <w:color w:val="333399"/>
          <w:szCs w:val="24"/>
          <w:lang w:val="en-GB"/>
        </w:rPr>
        <w:t xml:space="preserve"> </w:t>
      </w:r>
      <w:r w:rsidR="00A66A02">
        <w:rPr>
          <w:color w:val="333399"/>
          <w:szCs w:val="24"/>
          <w:lang w:val="en-GB"/>
        </w:rPr>
        <w:t>h</w:t>
      </w:r>
      <w:r w:rsidR="00814020" w:rsidRPr="00A66A02">
        <w:rPr>
          <w:color w:val="333399"/>
          <w:szCs w:val="24"/>
          <w:lang w:val="en-GB"/>
        </w:rPr>
        <w:t>otline (whistle blowing)</w:t>
      </w:r>
      <w:r w:rsidR="005636A8">
        <w:rPr>
          <w:color w:val="333399"/>
          <w:szCs w:val="24"/>
          <w:lang w:val="en-GB"/>
        </w:rPr>
        <w:t>;</w:t>
      </w:r>
      <w:r w:rsidR="00814020" w:rsidRPr="00A66A02">
        <w:rPr>
          <w:color w:val="333399"/>
          <w:szCs w:val="24"/>
          <w:lang w:val="en-GB"/>
        </w:rPr>
        <w:t xml:space="preserve"> </w:t>
      </w:r>
      <w:r w:rsidR="00A66A02">
        <w:rPr>
          <w:color w:val="333399"/>
          <w:szCs w:val="24"/>
          <w:lang w:val="en-GB"/>
        </w:rPr>
        <w:t>u</w:t>
      </w:r>
      <w:r w:rsidR="00814020" w:rsidRPr="00A66A02">
        <w:rPr>
          <w:color w:val="333399"/>
          <w:szCs w:val="24"/>
          <w:lang w:val="en-GB"/>
        </w:rPr>
        <w:t>nannounced visits</w:t>
      </w:r>
      <w:r w:rsidR="00A66A02">
        <w:rPr>
          <w:color w:val="333399"/>
          <w:szCs w:val="24"/>
          <w:lang w:val="en-GB"/>
        </w:rPr>
        <w:t>,..</w:t>
      </w:r>
      <w:r w:rsidR="00814020" w:rsidRPr="00A66A02">
        <w:rPr>
          <w:color w:val="333399"/>
          <w:szCs w:val="24"/>
          <w:lang w:val="en-GB"/>
        </w:rPr>
        <w:t xml:space="preserve">. </w:t>
      </w:r>
    </w:p>
    <w:p w:rsidR="000C2756" w:rsidRDefault="000C2756" w:rsidP="000C2756">
      <w:pPr>
        <w:rPr>
          <w:color w:val="333399"/>
          <w:szCs w:val="24"/>
          <w:lang w:val="en-GB"/>
        </w:rPr>
      </w:pPr>
    </w:p>
    <w:p w:rsidR="005636A8" w:rsidRDefault="005636A8" w:rsidP="000C2756">
      <w:pPr>
        <w:rPr>
          <w:color w:val="333399"/>
          <w:szCs w:val="24"/>
          <w:lang w:val="en-GB"/>
        </w:rPr>
      </w:pPr>
      <w:r>
        <w:rPr>
          <w:color w:val="333399"/>
          <w:szCs w:val="24"/>
          <w:lang w:val="en-GB"/>
        </w:rPr>
        <w:t>TEAM-NB are in the process of working with the EC Commission to achieve their objectives in the revision of the directives.</w:t>
      </w:r>
    </w:p>
    <w:p w:rsidR="00B069BD" w:rsidRPr="00A66A02" w:rsidRDefault="00B069BD" w:rsidP="000C2756">
      <w:pPr>
        <w:rPr>
          <w:color w:val="333399"/>
          <w:szCs w:val="24"/>
          <w:lang w:val="en-GB"/>
        </w:rPr>
      </w:pPr>
    </w:p>
    <w:p w:rsidR="000C2756" w:rsidRPr="00A66A02" w:rsidRDefault="00814020" w:rsidP="000C2756">
      <w:pPr>
        <w:rPr>
          <w:color w:val="333399"/>
          <w:szCs w:val="24"/>
          <w:lang w:val="en-GB"/>
        </w:rPr>
      </w:pPr>
      <w:r w:rsidRPr="00B069BD">
        <w:rPr>
          <w:color w:val="333399"/>
          <w:szCs w:val="24"/>
          <w:u w:val="single"/>
          <w:lang w:val="en-GB"/>
        </w:rPr>
        <w:t>For further information please c</w:t>
      </w:r>
      <w:r w:rsidR="000C2756" w:rsidRPr="00B069BD">
        <w:rPr>
          <w:color w:val="333399"/>
          <w:szCs w:val="24"/>
          <w:u w:val="single"/>
          <w:lang w:val="en-GB"/>
        </w:rPr>
        <w:t>ontact</w:t>
      </w:r>
      <w:r w:rsidRPr="00A66A02">
        <w:rPr>
          <w:color w:val="333399"/>
          <w:szCs w:val="24"/>
          <w:lang w:val="en-GB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70"/>
        <w:gridCol w:w="6442"/>
      </w:tblGrid>
      <w:tr w:rsidR="000C2756" w:rsidRPr="00A66A02" w:rsidTr="002B7ACF">
        <w:tc>
          <w:tcPr>
            <w:tcW w:w="2770" w:type="dxa"/>
          </w:tcPr>
          <w:p w:rsidR="000C2756" w:rsidRPr="00A66A02" w:rsidRDefault="00D42BA1" w:rsidP="00A66A02">
            <w:pPr>
              <w:rPr>
                <w:color w:val="333399"/>
                <w:szCs w:val="24"/>
                <w:lang w:val="en-GB"/>
              </w:rPr>
            </w:pPr>
            <w:r>
              <w:rPr>
                <w:color w:val="333399"/>
                <w:szCs w:val="24"/>
                <w:lang w:val="en-GB"/>
              </w:rPr>
              <w:t>Director</w:t>
            </w:r>
            <w:r w:rsidR="000C2756" w:rsidRPr="00A66A02">
              <w:rPr>
                <w:color w:val="333399"/>
                <w:szCs w:val="24"/>
                <w:lang w:val="en-GB"/>
              </w:rPr>
              <w:t xml:space="preserve"> and Secretariat;</w:t>
            </w:r>
          </w:p>
        </w:tc>
        <w:tc>
          <w:tcPr>
            <w:tcW w:w="6442" w:type="dxa"/>
          </w:tcPr>
          <w:p w:rsidR="000C2756" w:rsidRPr="00900B56" w:rsidRDefault="000C2756" w:rsidP="00A66A02">
            <w:pPr>
              <w:rPr>
                <w:color w:val="333399"/>
                <w:szCs w:val="24"/>
                <w:lang w:val="fr-BE"/>
              </w:rPr>
            </w:pPr>
            <w:r w:rsidRPr="00900B56">
              <w:rPr>
                <w:color w:val="333399"/>
                <w:szCs w:val="24"/>
                <w:lang w:val="fr-BE"/>
              </w:rPr>
              <w:t xml:space="preserve">Francoise Schlemmer at </w:t>
            </w:r>
            <w:hyperlink r:id="rId6" w:history="1">
              <w:r w:rsidR="00EE535D" w:rsidRPr="00FD7556">
                <w:rPr>
                  <w:rStyle w:val="Lienhypertexte"/>
                  <w:szCs w:val="24"/>
                  <w:lang w:val="fr-BE"/>
                </w:rPr>
                <w:t>Schlemmer@quasys.com</w:t>
              </w:r>
            </w:hyperlink>
          </w:p>
        </w:tc>
      </w:tr>
      <w:tr w:rsidR="000C2756" w:rsidRPr="00EE535D" w:rsidTr="002B7ACF">
        <w:tc>
          <w:tcPr>
            <w:tcW w:w="2770" w:type="dxa"/>
          </w:tcPr>
          <w:p w:rsidR="000C2756" w:rsidRPr="00A66A02" w:rsidRDefault="002B7ACF" w:rsidP="002B7ACF">
            <w:pPr>
              <w:rPr>
                <w:color w:val="333399"/>
                <w:szCs w:val="24"/>
                <w:lang w:val="en-GB"/>
              </w:rPr>
            </w:pPr>
            <w:r w:rsidRPr="00A66A02">
              <w:rPr>
                <w:color w:val="333399"/>
                <w:szCs w:val="24"/>
                <w:lang w:val="en-GB"/>
              </w:rPr>
              <w:t>Committee</w:t>
            </w:r>
            <w:r w:rsidR="000C2756" w:rsidRPr="00A66A02">
              <w:rPr>
                <w:color w:val="333399"/>
                <w:szCs w:val="24"/>
                <w:lang w:val="en-GB"/>
              </w:rPr>
              <w:t xml:space="preserve"> management;</w:t>
            </w:r>
          </w:p>
        </w:tc>
        <w:tc>
          <w:tcPr>
            <w:tcW w:w="6442" w:type="dxa"/>
          </w:tcPr>
          <w:p w:rsidR="000C2756" w:rsidRPr="00A66A02" w:rsidRDefault="00CE50CA" w:rsidP="002B7ACF">
            <w:pPr>
              <w:rPr>
                <w:color w:val="333399"/>
                <w:szCs w:val="24"/>
                <w:lang w:val="en-GB"/>
              </w:rPr>
            </w:pPr>
            <w:r w:rsidRPr="00A66A02">
              <w:rPr>
                <w:color w:val="333399"/>
                <w:szCs w:val="24"/>
                <w:lang w:val="en-GB"/>
              </w:rPr>
              <w:t>Gert Bos</w:t>
            </w:r>
            <w:r w:rsidR="000C2756" w:rsidRPr="00A66A02">
              <w:rPr>
                <w:color w:val="333399"/>
                <w:szCs w:val="24"/>
                <w:lang w:val="en-GB"/>
              </w:rPr>
              <w:t xml:space="preserve"> at </w:t>
            </w:r>
            <w:hyperlink r:id="rId7" w:history="1">
              <w:r w:rsidRPr="00570A5C">
                <w:rPr>
                  <w:color w:val="333399"/>
                  <w:szCs w:val="24"/>
                  <w:u w:val="single"/>
                  <w:lang w:val="en-GB"/>
                </w:rPr>
                <w:t>Gert.Bos@bsigroup.com</w:t>
              </w:r>
            </w:hyperlink>
          </w:p>
          <w:p w:rsidR="00CE50CA" w:rsidRPr="00A66A02" w:rsidRDefault="00CE50CA" w:rsidP="002B7ACF">
            <w:pPr>
              <w:rPr>
                <w:color w:val="333399"/>
                <w:szCs w:val="24"/>
                <w:lang w:val="en-GB"/>
              </w:rPr>
            </w:pPr>
            <w:r w:rsidRPr="00A66A02">
              <w:rPr>
                <w:color w:val="333399"/>
                <w:szCs w:val="24"/>
                <w:lang w:val="en-GB"/>
              </w:rPr>
              <w:t xml:space="preserve">Chris Jepson at </w:t>
            </w:r>
            <w:r w:rsidR="00A82CC6" w:rsidRPr="00570A5C">
              <w:rPr>
                <w:color w:val="333399"/>
                <w:szCs w:val="24"/>
                <w:u w:val="single"/>
                <w:lang w:val="en-GB"/>
              </w:rPr>
              <w:t>Chris.Jepson@sgs.com</w:t>
            </w:r>
          </w:p>
          <w:p w:rsidR="00CE50CA" w:rsidRPr="00900B56" w:rsidRDefault="00CE50CA" w:rsidP="00CE50CA">
            <w:pPr>
              <w:rPr>
                <w:color w:val="333399"/>
                <w:szCs w:val="24"/>
                <w:lang w:val="en-US"/>
              </w:rPr>
            </w:pPr>
            <w:r w:rsidRPr="00A66A02">
              <w:rPr>
                <w:color w:val="333399"/>
                <w:szCs w:val="24"/>
                <w:lang w:val="en-GB"/>
              </w:rPr>
              <w:t xml:space="preserve">Werner </w:t>
            </w:r>
            <w:r w:rsidRPr="00900B56">
              <w:rPr>
                <w:color w:val="333399"/>
                <w:szCs w:val="24"/>
                <w:lang w:val="en-GB"/>
              </w:rPr>
              <w:t>Kexel at</w:t>
            </w:r>
            <w:r w:rsidRPr="00B069BD">
              <w:rPr>
                <w:color w:val="FF0000"/>
                <w:szCs w:val="24"/>
                <w:lang w:val="en-GB"/>
              </w:rPr>
              <w:t xml:space="preserve"> </w:t>
            </w:r>
            <w:r w:rsidR="00900B56" w:rsidRPr="00900B56">
              <w:rPr>
                <w:color w:val="333399"/>
                <w:szCs w:val="24"/>
                <w:u w:val="single"/>
                <w:lang w:val="en-GB"/>
              </w:rPr>
              <w:t>werner.kexel@bsigroup.com</w:t>
            </w:r>
          </w:p>
          <w:p w:rsidR="00A82CC6" w:rsidRPr="00A66A02" w:rsidRDefault="00CE50CA" w:rsidP="002B7ACF">
            <w:pPr>
              <w:rPr>
                <w:color w:val="333399"/>
                <w:szCs w:val="24"/>
                <w:lang w:val="en-GB"/>
              </w:rPr>
            </w:pPr>
            <w:r w:rsidRPr="00A66A02">
              <w:rPr>
                <w:color w:val="333399"/>
                <w:szCs w:val="24"/>
                <w:lang w:val="en-GB"/>
              </w:rPr>
              <w:t xml:space="preserve">Aud Løken Eiklid </w:t>
            </w:r>
            <w:r w:rsidR="000C2756" w:rsidRPr="00A66A02">
              <w:rPr>
                <w:color w:val="333399"/>
                <w:szCs w:val="24"/>
                <w:lang w:val="en-GB"/>
              </w:rPr>
              <w:t xml:space="preserve">at </w:t>
            </w:r>
            <w:r w:rsidR="00A82CC6" w:rsidRPr="00570A5C">
              <w:rPr>
                <w:color w:val="333399"/>
                <w:szCs w:val="24"/>
                <w:u w:val="single"/>
                <w:lang w:val="en-GB"/>
              </w:rPr>
              <w:t>aud.loken.eiklid@dnv.com</w:t>
            </w:r>
            <w:r w:rsidR="00A82CC6" w:rsidRPr="00A66A02">
              <w:rPr>
                <w:color w:val="333399"/>
                <w:szCs w:val="24"/>
                <w:lang w:val="en-GB"/>
              </w:rPr>
              <w:t xml:space="preserve"> </w:t>
            </w:r>
          </w:p>
          <w:p w:rsidR="000C2756" w:rsidRPr="00A66A02" w:rsidRDefault="000C2756" w:rsidP="002B7ACF">
            <w:pPr>
              <w:rPr>
                <w:color w:val="333399"/>
                <w:szCs w:val="24"/>
                <w:lang w:val="en-GB"/>
              </w:rPr>
            </w:pPr>
            <w:r w:rsidRPr="00A66A02">
              <w:rPr>
                <w:color w:val="333399"/>
                <w:szCs w:val="24"/>
                <w:lang w:val="en-GB"/>
              </w:rPr>
              <w:t xml:space="preserve">Gero Viola at </w:t>
            </w:r>
            <w:hyperlink r:id="rId8" w:history="1">
              <w:r w:rsidRPr="00570A5C">
                <w:rPr>
                  <w:color w:val="333399"/>
                  <w:szCs w:val="24"/>
                  <w:u w:val="single"/>
                  <w:lang w:val="en-GB"/>
                </w:rPr>
                <w:t>gero.Viola@de.tuv.com</w:t>
              </w:r>
            </w:hyperlink>
          </w:p>
        </w:tc>
      </w:tr>
    </w:tbl>
    <w:p w:rsidR="000C2756" w:rsidRPr="00A66A02" w:rsidRDefault="000C2756">
      <w:pPr>
        <w:rPr>
          <w:color w:val="333399"/>
          <w:szCs w:val="24"/>
          <w:lang w:val="en-GB"/>
        </w:rPr>
      </w:pPr>
    </w:p>
    <w:sectPr w:rsidR="000C2756" w:rsidRPr="00A66A02" w:rsidSect="00D5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8B7"/>
    <w:multiLevelType w:val="hybridMultilevel"/>
    <w:tmpl w:val="FAB463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B6D63"/>
    <w:multiLevelType w:val="multilevel"/>
    <w:tmpl w:val="86862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756"/>
    <w:rsid w:val="000C2756"/>
    <w:rsid w:val="001F631D"/>
    <w:rsid w:val="002B7ACF"/>
    <w:rsid w:val="004C3ED9"/>
    <w:rsid w:val="0055288D"/>
    <w:rsid w:val="005636A8"/>
    <w:rsid w:val="00570A5C"/>
    <w:rsid w:val="00814020"/>
    <w:rsid w:val="00900B56"/>
    <w:rsid w:val="00970607"/>
    <w:rsid w:val="00A66A02"/>
    <w:rsid w:val="00A82CC6"/>
    <w:rsid w:val="00B029E8"/>
    <w:rsid w:val="00B069BD"/>
    <w:rsid w:val="00C031A5"/>
    <w:rsid w:val="00C356E1"/>
    <w:rsid w:val="00C760E7"/>
    <w:rsid w:val="00CE50CA"/>
    <w:rsid w:val="00D42BA1"/>
    <w:rsid w:val="00D5246B"/>
    <w:rsid w:val="00D8614F"/>
    <w:rsid w:val="00DD35CB"/>
    <w:rsid w:val="00E21643"/>
    <w:rsid w:val="00E232B3"/>
    <w:rsid w:val="00EE07E0"/>
    <w:rsid w:val="00E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0C2756"/>
    <w:pPr>
      <w:keepNext/>
      <w:jc w:val="center"/>
      <w:outlineLvl w:val="1"/>
    </w:pPr>
    <w:rPr>
      <w:b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C2756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styleId="Lienhypertexte">
    <w:name w:val="Hyperlink"/>
    <w:basedOn w:val="Policepardfaut"/>
    <w:rsid w:val="000C2756"/>
    <w:rPr>
      <w:color w:val="0000FF"/>
      <w:u w:val="single"/>
    </w:rPr>
  </w:style>
  <w:style w:type="paragraph" w:styleId="En-tte">
    <w:name w:val="header"/>
    <w:basedOn w:val="Normal"/>
    <w:link w:val="En-tteCar"/>
    <w:rsid w:val="000C2756"/>
    <w:pPr>
      <w:tabs>
        <w:tab w:val="center" w:pos="4536"/>
        <w:tab w:val="right" w:pos="9072"/>
      </w:tabs>
    </w:pPr>
    <w:rPr>
      <w:szCs w:val="24"/>
    </w:rPr>
  </w:style>
  <w:style w:type="character" w:customStyle="1" w:styleId="En-tteCar">
    <w:name w:val="En-tête Car"/>
    <w:basedOn w:val="Policepardfaut"/>
    <w:link w:val="En-tte"/>
    <w:rsid w:val="000C275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75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E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4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ebrut">
    <w:name w:val="Plain Text"/>
    <w:basedOn w:val="Normal"/>
    <w:link w:val="TextebrutCar"/>
    <w:uiPriority w:val="99"/>
    <w:unhideWhenUsed/>
    <w:rsid w:val="00814020"/>
    <w:rPr>
      <w:rFonts w:ascii="Trebuchet MS" w:eastAsia="Calibri" w:hAnsi="Trebuchet MS"/>
      <w:sz w:val="21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14020"/>
    <w:rPr>
      <w:rFonts w:ascii="Trebuchet MS" w:eastAsia="Calibri" w:hAnsi="Trebuchet MS" w:cs="Times New Roman"/>
      <w:sz w:val="21"/>
      <w:szCs w:val="21"/>
    </w:rPr>
  </w:style>
  <w:style w:type="character" w:customStyle="1" w:styleId="apple-style-span">
    <w:name w:val="apple-style-span"/>
    <w:basedOn w:val="Policepardfaut"/>
    <w:uiPriority w:val="99"/>
    <w:rsid w:val="002B7A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ma\AppData\Local\Microsoft\Windows\Temporary%20Internet%20Files\Content.Outlook\HA1HA2Y3\gero.Viola@de.tu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.Bos@bsi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lemmer@quasy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</dc:creator>
  <cp:lastModifiedBy>NMA</cp:lastModifiedBy>
  <cp:revision>2</cp:revision>
  <dcterms:created xsi:type="dcterms:W3CDTF">2012-03-02T11:40:00Z</dcterms:created>
  <dcterms:modified xsi:type="dcterms:W3CDTF">2012-03-02T11:40:00Z</dcterms:modified>
</cp:coreProperties>
</file>