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EA26" w14:textId="77777777" w:rsidR="00EE5FA9" w:rsidRPr="007C5913" w:rsidRDefault="00EE5FA9" w:rsidP="00EE5FA9">
      <w:pPr>
        <w:rPr>
          <w:rFonts w:ascii="Calibri" w:eastAsiaTheme="majorEastAsia" w:hAnsi="Calibri" w:cs="Calibri"/>
          <w:b/>
          <w:bCs/>
          <w:i/>
          <w:iCs/>
          <w:color w:val="003481" w:themeColor="accent2" w:themeShade="BF"/>
          <w:sz w:val="28"/>
          <w:szCs w:val="28"/>
        </w:rPr>
      </w:pPr>
      <w:r w:rsidRPr="007C5913">
        <w:rPr>
          <w:rFonts w:ascii="Calibri" w:eastAsiaTheme="majorEastAsia" w:hAnsi="Calibri" w:cs="Calibri"/>
          <w:b/>
          <w:bCs/>
          <w:i/>
          <w:iCs/>
          <w:color w:val="003481" w:themeColor="accent2" w:themeShade="BF"/>
          <w:sz w:val="28"/>
          <w:szCs w:val="28"/>
        </w:rPr>
        <w:t>NBs-MDRIVDR-Call-For-Evidence-DG-Connect</w:t>
      </w:r>
    </w:p>
    <w:p w14:paraId="366905F9" w14:textId="77777777" w:rsidR="007C5913" w:rsidRDefault="007C5913" w:rsidP="00EE5FA9">
      <w:pPr>
        <w:rPr>
          <w:rFonts w:ascii="Calibri" w:hAnsi="Calibri" w:cs="Calibri"/>
          <w:sz w:val="24"/>
          <w:szCs w:val="24"/>
        </w:rPr>
      </w:pPr>
    </w:p>
    <w:p w14:paraId="02242507" w14:textId="50A71F4F" w:rsidR="00EE5FA9" w:rsidRPr="007C5913" w:rsidRDefault="00EE5FA9" w:rsidP="00EE5FA9">
      <w:pPr>
        <w:rPr>
          <w:rFonts w:ascii="Calibri" w:hAnsi="Calibri" w:cs="Calibri"/>
          <w:sz w:val="24"/>
          <w:szCs w:val="24"/>
        </w:rPr>
      </w:pPr>
      <w:r w:rsidRPr="007C5913">
        <w:rPr>
          <w:rFonts w:ascii="Calibri" w:hAnsi="Calibri" w:cs="Calibri"/>
          <w:sz w:val="24"/>
          <w:szCs w:val="24"/>
        </w:rPr>
        <w:t xml:space="preserve">Dear members of the European Commission, DG CONNECT O1, A2, G1, H2, H4, </w:t>
      </w:r>
    </w:p>
    <w:p w14:paraId="3823874F"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Subject: Contribution to the Call for Evidence: Digital Omnibus (Digital Package on Simplification) - Specific challenges for Notified Bodies (NBs) in the context of the AI Regulation</w:t>
      </w:r>
    </w:p>
    <w:p w14:paraId="215416A4" w14:textId="77777777" w:rsidR="00EE5FA9" w:rsidRPr="007C5913" w:rsidRDefault="00EE5FA9" w:rsidP="00EE5FA9">
      <w:pPr>
        <w:rPr>
          <w:rFonts w:ascii="Calibri" w:hAnsi="Calibri" w:cs="Calibri"/>
          <w:sz w:val="24"/>
          <w:szCs w:val="24"/>
        </w:rPr>
      </w:pPr>
    </w:p>
    <w:p w14:paraId="1627FC70" w14:textId="460AA476" w:rsidR="00EE5FA9" w:rsidRPr="007C5913" w:rsidRDefault="00EE5FA9" w:rsidP="00EE5FA9">
      <w:pPr>
        <w:rPr>
          <w:rFonts w:ascii="Calibri" w:hAnsi="Calibri" w:cs="Calibri"/>
          <w:sz w:val="24"/>
          <w:szCs w:val="24"/>
        </w:rPr>
      </w:pPr>
      <w:r w:rsidRPr="007C5913">
        <w:rPr>
          <w:rFonts w:ascii="Calibri" w:hAnsi="Calibri" w:cs="Calibri"/>
          <w:sz w:val="24"/>
          <w:szCs w:val="24"/>
        </w:rPr>
        <w:t>The New Legislative Framework, which includes 30 product directives and regulations including the AI Act, MDR, etc., is a legislative framework for the promotion of the European market and the quality of CE marked products.</w:t>
      </w:r>
    </w:p>
    <w:p w14:paraId="170C0CE3"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It is based on shared rules for the accreditation of conformity assessment bodies and market surveillance by the competent national and European authorities.</w:t>
      </w:r>
    </w:p>
    <w:p w14:paraId="44571CC8"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It applies to all regulated PRODUCTS (including software) made available for the first time in the European Union: the responsibility for the conformity of the products lies with the economic operators (manufacturer or provider-authorized representative-importer-distributor).</w:t>
      </w:r>
    </w:p>
    <w:p w14:paraId="5CF806F6"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In some cases, for the verification of conformity, the manufacturer's declaration is not sufficient and accredited bodies and notified bodies are involved in the assessment of the product’s design, production, technical documentation, inspection, testing, full quality assurance (with periodic audit to assess and survey the quality system, including the risk management system).</w:t>
      </w:r>
    </w:p>
    <w:p w14:paraId="322FF132"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Now that AI technology is transforming industry and products radically, an update in the framework is needed to take into account the challenges of digitalisation and complex value chains, sustainability, digital CE marking...</w:t>
      </w:r>
    </w:p>
    <w:p w14:paraId="7444DF3B"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 xml:space="preserve">The AI Act is the 28th product legislation under the European New Legislative Framework, aiming to address the risks of AI and to foster trustworthy AI in Europe. </w:t>
      </w:r>
    </w:p>
    <w:p w14:paraId="1134D2FF"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It is already built on the legal concept that whenever a matter is regulated by two rules, the more specific one should be applied first, avoiding double-regulatory burden.</w:t>
      </w:r>
    </w:p>
    <w:p w14:paraId="328F3E27"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 xml:space="preserve">Team NB welcomes the Commission's initiative to drive forward the simplification of the digital regulatory framework and reduce administrative costs for businesses as part of the Digital Omnibus. We strongly support the general objective of creating legal clarity and predictability, especially with regard to the optimal application of the recently adopted AI Regulation (Regulation (EU) 2024/1689). </w:t>
      </w:r>
    </w:p>
    <w:p w14:paraId="3C503CE1"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We consider ourselves key contributors to the emerging digital ecosystem, as our work as Conformity Assessment Bodies (CABs/NBs) plays a vital role in ensuring the high level of health, safety, and fundamental rights protection envisioned by the AI Act.</w:t>
      </w:r>
    </w:p>
    <w:p w14:paraId="6D3C4DFD" w14:textId="77777777" w:rsidR="00EE5FA9" w:rsidRPr="007C5913" w:rsidRDefault="00EE5FA9" w:rsidP="00EE5FA9">
      <w:pPr>
        <w:rPr>
          <w:rFonts w:ascii="Calibri" w:hAnsi="Calibri" w:cs="Calibri"/>
          <w:sz w:val="24"/>
          <w:szCs w:val="24"/>
        </w:rPr>
      </w:pPr>
      <w:r w:rsidRPr="007C5913">
        <w:rPr>
          <w:rFonts w:ascii="Calibri" w:hAnsi="Calibri" w:cs="Calibri"/>
          <w:sz w:val="24"/>
          <w:szCs w:val="24"/>
        </w:rPr>
        <w:t xml:space="preserve">Considering the challenges experienced during MDR/IVDR implementation by different stakeholders (authorities, NBs, manufacturers and providers), jeopardising enforcement and </w:t>
      </w:r>
      <w:r w:rsidRPr="007C5913">
        <w:rPr>
          <w:rFonts w:ascii="Calibri" w:hAnsi="Calibri" w:cs="Calibri"/>
          <w:sz w:val="24"/>
          <w:szCs w:val="24"/>
        </w:rPr>
        <w:lastRenderedPageBreak/>
        <w:t>innovative devices availability to patients, we envisage a smooth and uniform implementation under the existing governance, the existing framework, the existing notifications in NANDO and designation process with a centralised oversight and limited duplication of efforts.</w:t>
      </w:r>
    </w:p>
    <w:p w14:paraId="1E05A8C6" w14:textId="3D88E356" w:rsidR="00B67DB1" w:rsidRPr="007C5913" w:rsidRDefault="00EE5FA9" w:rsidP="00EE5FA9">
      <w:pPr>
        <w:rPr>
          <w:rFonts w:ascii="Calibri" w:hAnsi="Calibri" w:cs="Calibri"/>
          <w:sz w:val="24"/>
          <w:szCs w:val="24"/>
        </w:rPr>
      </w:pPr>
      <w:r w:rsidRPr="007C5913">
        <w:rPr>
          <w:rFonts w:ascii="Calibri" w:hAnsi="Calibri" w:cs="Calibri"/>
          <w:sz w:val="24"/>
          <w:szCs w:val="24"/>
        </w:rPr>
        <w:t>Ensuring a uniform assessment of Notified Bodies by Member States’ Competent Authorities is essential to maintain consistency, credibility, and trust in the European regulatory system. Divergent interpretations or approaches can lead to unequal conditions for Notified Bodies and manufacturers, ultimately affecting market fairness and patient or user safety. A harmonized assessment process promotes transparency, mutual recognition, and efficiency across the EU. By aligning expectations and practices, Competent Authorities and Notified Bodies can strengthen the overall quality and integrity of conformity assessment activities.</w:t>
      </w:r>
    </w:p>
    <w:p w14:paraId="301F933A" w14:textId="77777777" w:rsidR="00EE5FA9" w:rsidRPr="007C5913" w:rsidRDefault="00EE5FA9" w:rsidP="007C5913">
      <w:pPr>
        <w:rPr>
          <w:rFonts w:ascii="Calibri" w:hAnsi="Calibri" w:cs="Calibri"/>
          <w:sz w:val="24"/>
          <w:szCs w:val="24"/>
        </w:rPr>
      </w:pPr>
      <w:r w:rsidRPr="007C5913">
        <w:rPr>
          <w:rFonts w:ascii="Calibri" w:hAnsi="Calibri" w:cs="Calibri"/>
          <w:sz w:val="24"/>
          <w:szCs w:val="24"/>
        </w:rPr>
        <w:t>Our contribution addresses a key aspect that has so far received limited attention in the simplification debate, one that directly impacts on the economic sustainability of Notified Bodies and, in turn, the effective enforcement of the AI Regulation: the high conformity assessment costs resulting from varying levels of preparedness among economic operators due to frequent changes and/or extensions to regulatory requirements and their interpretations.</w:t>
      </w:r>
    </w:p>
    <w:p w14:paraId="465FD2D0" w14:textId="77777777" w:rsidR="00EE5FA9" w:rsidRPr="007C5913" w:rsidRDefault="00EE5FA9" w:rsidP="007C5913">
      <w:pPr>
        <w:rPr>
          <w:rFonts w:ascii="Calibri" w:hAnsi="Calibri" w:cs="Calibri"/>
          <w:sz w:val="24"/>
          <w:szCs w:val="24"/>
        </w:rPr>
      </w:pPr>
      <w:r w:rsidRPr="007C5913">
        <w:rPr>
          <w:rFonts w:ascii="Calibri" w:hAnsi="Calibri" w:cs="Calibri"/>
          <w:sz w:val="24"/>
          <w:szCs w:val="24"/>
        </w:rPr>
        <w:t>The AI Regulation will apply directly from August 2026 for Annex III listed AI Systems or August 2027 for Manufacturers of Medical Devices and IVD under Annex I AIA listed harmonization legislation. It provides for the involvement of independent conformity assessment bodies (CABs): Notified Bodies (NBs) for high-risk AI systems. Member States are obliged to set up the necessary procedures for the assessment, designation, and notification of these bodies and to ensure their supervision. The existence of a robust and functional network of NBs is essential for market surveillance and legal predictability for companies, especially for SMEs that must apply the rules with limited resources.</w:t>
      </w:r>
    </w:p>
    <w:p w14:paraId="65275EFC" w14:textId="77777777" w:rsidR="00EE5FA9" w:rsidRPr="007C5913" w:rsidRDefault="00EE5FA9" w:rsidP="007C5913">
      <w:pPr>
        <w:rPr>
          <w:rFonts w:ascii="Calibri" w:hAnsi="Calibri" w:cs="Calibri"/>
          <w:sz w:val="24"/>
          <w:szCs w:val="24"/>
        </w:rPr>
      </w:pPr>
      <w:r w:rsidRPr="007C5913">
        <w:rPr>
          <w:rFonts w:ascii="Calibri" w:hAnsi="Calibri" w:cs="Calibri"/>
          <w:sz w:val="24"/>
          <w:szCs w:val="24"/>
        </w:rPr>
        <w:t xml:space="preserve">Economic Operators and Notified Bodies as independent entities require a clear, stable, and predictable environment to efficiently </w:t>
      </w:r>
      <w:proofErr w:type="spellStart"/>
      <w:r w:rsidRPr="007C5913">
        <w:rPr>
          <w:rFonts w:ascii="Calibri" w:hAnsi="Calibri" w:cs="Calibri"/>
          <w:sz w:val="24"/>
          <w:szCs w:val="24"/>
        </w:rPr>
        <w:t>fulfill</w:t>
      </w:r>
      <w:proofErr w:type="spellEnd"/>
      <w:r w:rsidRPr="007C5913">
        <w:rPr>
          <w:rFonts w:ascii="Calibri" w:hAnsi="Calibri" w:cs="Calibri"/>
          <w:sz w:val="24"/>
          <w:szCs w:val="24"/>
        </w:rPr>
        <w:t xml:space="preserve"> the legal requirements set out. If this is not the case, we observe economic operators struggling with providing documentation of high-risk AI systems that are complete and fully compliant, which delays the conformity assessment process as incomplete and/or not fully compliant submissions often necessitate additional review cycles, clarifications, and coordination, leading to increased demands on document management and technical expertise within Notified Bodies. Delayed conformity assessments in turn may lead to a shortage in product availability.</w:t>
      </w:r>
    </w:p>
    <w:p w14:paraId="3273D931" w14:textId="77777777" w:rsidR="00EE5FA9" w:rsidRPr="007C5913" w:rsidRDefault="00EE5FA9" w:rsidP="007C5913">
      <w:pPr>
        <w:rPr>
          <w:rFonts w:ascii="Calibri" w:hAnsi="Calibri" w:cs="Calibri"/>
          <w:sz w:val="24"/>
          <w:szCs w:val="24"/>
        </w:rPr>
      </w:pPr>
      <w:r w:rsidRPr="007C5913">
        <w:rPr>
          <w:rFonts w:ascii="Calibri" w:hAnsi="Calibri" w:cs="Calibri"/>
          <w:sz w:val="24"/>
          <w:szCs w:val="24"/>
        </w:rPr>
        <w:t>Additionally, we observe that costs for NBs increase considerably to uphold qualifications for specialists required for NBs as legally required. Extensive personnel resources are required to conduct the conformity assessment activities if qualification requirements become unnecessarily detailed. In the interest of simplification, it could therefore be questioned what level of detail is necessary to ensure the high level of safety, health, and fundamental rights protection envisioned by the AI Act.</w:t>
      </w:r>
    </w:p>
    <w:p w14:paraId="215FF901" w14:textId="77777777" w:rsidR="00EE5FA9" w:rsidRPr="007C5913" w:rsidRDefault="00EE5FA9" w:rsidP="007C5913">
      <w:pPr>
        <w:rPr>
          <w:rFonts w:ascii="Calibri" w:hAnsi="Calibri" w:cs="Calibri"/>
          <w:sz w:val="24"/>
          <w:szCs w:val="24"/>
        </w:rPr>
      </w:pPr>
      <w:r w:rsidRPr="007C5913">
        <w:rPr>
          <w:rFonts w:ascii="Calibri" w:hAnsi="Calibri" w:cs="Calibri"/>
          <w:sz w:val="24"/>
          <w:szCs w:val="24"/>
        </w:rPr>
        <w:t>Based on our experience we fear following negative effects, which contradict the objectives of the Digital Omnibus:</w:t>
      </w:r>
    </w:p>
    <w:p w14:paraId="79E06AC9" w14:textId="77777777" w:rsidR="00EE5FA9" w:rsidRPr="007C5913" w:rsidRDefault="00EE5FA9" w:rsidP="007C5913">
      <w:pPr>
        <w:pStyle w:val="Paragraphedeliste"/>
        <w:numPr>
          <w:ilvl w:val="0"/>
          <w:numId w:val="80"/>
        </w:numPr>
        <w:spacing w:before="0" w:after="0" w:line="240" w:lineRule="auto"/>
        <w:ind w:left="709" w:hanging="357"/>
        <w:contextualSpacing w:val="0"/>
        <w:rPr>
          <w:rFonts w:ascii="Calibri" w:hAnsi="Calibri" w:cs="Calibri"/>
          <w:sz w:val="24"/>
          <w:szCs w:val="24"/>
        </w:rPr>
      </w:pPr>
      <w:r w:rsidRPr="007C5913">
        <w:rPr>
          <w:rFonts w:ascii="Calibri" w:hAnsi="Calibri" w:cs="Calibri"/>
          <w:sz w:val="24"/>
          <w:szCs w:val="24"/>
        </w:rPr>
        <w:lastRenderedPageBreak/>
        <w:t>Jeopardising enforcement: A lack of NBs would massively hinder the optimal application of the AI Regulation and thus compliance with safety standards in the internal market.</w:t>
      </w:r>
    </w:p>
    <w:p w14:paraId="316D8F8A" w14:textId="77777777" w:rsidR="00EE5FA9" w:rsidRPr="007C5913" w:rsidRDefault="00EE5FA9" w:rsidP="007C5913">
      <w:pPr>
        <w:pStyle w:val="Paragraphedeliste"/>
        <w:numPr>
          <w:ilvl w:val="0"/>
          <w:numId w:val="80"/>
        </w:numPr>
        <w:spacing w:before="0" w:after="0" w:line="240" w:lineRule="auto"/>
        <w:ind w:left="709" w:hanging="357"/>
        <w:contextualSpacing w:val="0"/>
        <w:rPr>
          <w:rFonts w:ascii="Calibri" w:hAnsi="Calibri" w:cs="Calibri"/>
          <w:sz w:val="24"/>
          <w:szCs w:val="24"/>
        </w:rPr>
      </w:pPr>
      <w:r w:rsidRPr="007C5913">
        <w:rPr>
          <w:rFonts w:ascii="Calibri" w:hAnsi="Calibri" w:cs="Calibri"/>
          <w:sz w:val="24"/>
          <w:szCs w:val="24"/>
        </w:rPr>
        <w:t>Obstacle to innovation: Long waiting times or a lack of specialized NBs hinder the market launch of innovative AI systems and impair the competitiveness and innovative strength of the digital sector in the EU.</w:t>
      </w:r>
    </w:p>
    <w:p w14:paraId="532877F9" w14:textId="77777777" w:rsidR="00EE5FA9" w:rsidRPr="007C5913" w:rsidRDefault="00EE5FA9" w:rsidP="007C5913">
      <w:pPr>
        <w:pStyle w:val="Paragraphedeliste"/>
        <w:numPr>
          <w:ilvl w:val="0"/>
          <w:numId w:val="80"/>
        </w:numPr>
        <w:spacing w:before="0" w:after="0" w:line="240" w:lineRule="auto"/>
        <w:ind w:left="709" w:hanging="357"/>
        <w:contextualSpacing w:val="0"/>
        <w:rPr>
          <w:rFonts w:ascii="Calibri" w:hAnsi="Calibri" w:cs="Calibri"/>
          <w:sz w:val="24"/>
          <w:szCs w:val="24"/>
        </w:rPr>
      </w:pPr>
      <w:r w:rsidRPr="007C5913">
        <w:rPr>
          <w:rFonts w:ascii="Calibri" w:hAnsi="Calibri" w:cs="Calibri"/>
          <w:sz w:val="24"/>
          <w:szCs w:val="24"/>
        </w:rPr>
        <w:t>Capacity issues: A shortage of NBs could lead to an imbalance in the Member States and further exacerbate the already existing fragmentation in the national application of digital rules.</w:t>
      </w:r>
    </w:p>
    <w:p w14:paraId="528F794D" w14:textId="77777777" w:rsidR="00EE5FA9" w:rsidRPr="007C5913" w:rsidRDefault="00EE5FA9" w:rsidP="00EE5FA9">
      <w:pPr>
        <w:spacing w:beforeAutospacing="1" w:afterAutospacing="1"/>
        <w:rPr>
          <w:rFonts w:ascii="Calibri" w:hAnsi="Calibri" w:cs="Calibri"/>
          <w:sz w:val="24"/>
          <w:szCs w:val="24"/>
        </w:rPr>
      </w:pPr>
      <w:r w:rsidRPr="007C5913">
        <w:rPr>
          <w:rFonts w:ascii="Calibri" w:hAnsi="Calibri" w:cs="Calibri"/>
          <w:sz w:val="24"/>
          <w:szCs w:val="24"/>
        </w:rPr>
        <w:t xml:space="preserve">Team NB and </w:t>
      </w:r>
      <w:r w:rsidRPr="007C5913">
        <w:rPr>
          <w:rFonts w:ascii="Calibri" w:eastAsia="Times New Roman" w:hAnsi="Calibri" w:cs="Calibri"/>
          <w:sz w:val="24"/>
          <w:szCs w:val="24"/>
        </w:rPr>
        <w:t>NBCG-Med therefore suggest using existing frameworks for appointing NBs under the regulations to avoid duplicate efforts for NBs. NBs are already certifying AI applications and are under surveillance by Competent Authorities. This approach would allow continuity for this sector, which has already high patient safety standards and is in transition to even more elaborate regulatory requirements.</w:t>
      </w:r>
    </w:p>
    <w:p w14:paraId="652D63C0"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Furthermore, economic safeguards against additional costs are essential in order to ensure that NBs can fulfil their sovereignly delegated tasks independently, impartially, and without bias.</w:t>
      </w:r>
    </w:p>
    <w:p w14:paraId="1958A25B"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We therefore call on the Commission to examine the introduction of explicit reimbursement or compensation mechanisms as part of the Digital Omnibus or subsequent measures.</w:t>
      </w:r>
    </w:p>
    <w:p w14:paraId="78593C38"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These mechanisms should:</w:t>
      </w:r>
    </w:p>
    <w:p w14:paraId="12683545" w14:textId="77777777" w:rsidR="00EE5FA9" w:rsidRPr="007C5913" w:rsidRDefault="00EE5FA9" w:rsidP="007C5913">
      <w:pPr>
        <w:pStyle w:val="Paragraphedeliste"/>
        <w:numPr>
          <w:ilvl w:val="0"/>
          <w:numId w:val="80"/>
        </w:numPr>
        <w:spacing w:before="0" w:after="0" w:line="240" w:lineRule="auto"/>
        <w:ind w:left="709" w:hanging="357"/>
        <w:contextualSpacing w:val="0"/>
        <w:rPr>
          <w:rFonts w:ascii="Calibri" w:hAnsi="Calibri" w:cs="Calibri"/>
          <w:sz w:val="24"/>
          <w:szCs w:val="24"/>
        </w:rPr>
      </w:pPr>
      <w:r w:rsidRPr="007C5913">
        <w:rPr>
          <w:rFonts w:ascii="Calibri" w:hAnsi="Calibri" w:cs="Calibri"/>
          <w:sz w:val="24"/>
          <w:szCs w:val="24"/>
        </w:rPr>
        <w:t>include clear rules on the billing of additional work caused by repeated testing, incomplete documentation, or delays on the part of the manufacturer.</w:t>
      </w:r>
    </w:p>
    <w:p w14:paraId="42D05489" w14:textId="77777777" w:rsidR="00EE5FA9" w:rsidRPr="007C5913" w:rsidRDefault="00EE5FA9" w:rsidP="007C5913">
      <w:pPr>
        <w:pStyle w:val="Paragraphedeliste"/>
        <w:numPr>
          <w:ilvl w:val="0"/>
          <w:numId w:val="80"/>
        </w:numPr>
        <w:spacing w:before="0" w:after="0" w:line="240" w:lineRule="auto"/>
        <w:ind w:left="709" w:hanging="357"/>
        <w:contextualSpacing w:val="0"/>
        <w:rPr>
          <w:rFonts w:ascii="Calibri" w:hAnsi="Calibri" w:cs="Calibri"/>
          <w:sz w:val="24"/>
          <w:szCs w:val="24"/>
        </w:rPr>
      </w:pPr>
      <w:r w:rsidRPr="007C5913">
        <w:rPr>
          <w:rFonts w:ascii="Calibri" w:hAnsi="Calibri" w:cs="Calibri"/>
          <w:sz w:val="24"/>
          <w:szCs w:val="24"/>
        </w:rPr>
        <w:t>ensure that the costs incurred are fully covered in order to prevent notified bodies from having to cease their activities for economic reasons.</w:t>
      </w:r>
    </w:p>
    <w:p w14:paraId="4D47D5A6"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 xml:space="preserve">To maintain consistency, credibility, and trust in the European regulatory system, it is important to ensure a uniform assessment of Notified Bodies by Member States’ Competent Authorities. </w:t>
      </w:r>
    </w:p>
    <w:p w14:paraId="57DC1EE4"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Divergent interpretations or approaches can lead to unequal conditions for Notified Bodies and manufacturers, ultimately affecting market fairness and patient or user safety. A harmonized assessment process promotes transparency, mutual recognition, and efficiency across the EU. By aligning expectations and practices, Competent Authorities and Notified Bodies can strengthen the overall quality and integrity of conformity assessment activities.</w:t>
      </w:r>
    </w:p>
    <w:p w14:paraId="3299E5A6"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The Digital Omnibus is an important opportunity to reduce bureaucratic burdens. This includes ensuring the efficiency and sustainability of those actors (including NBs) responsible for conformity assessment.</w:t>
      </w:r>
    </w:p>
    <w:p w14:paraId="550BDC75" w14:textId="77777777" w:rsidR="00EE5FA9" w:rsidRPr="007C5913" w:rsidRDefault="00EE5FA9" w:rsidP="007C5913">
      <w:pPr>
        <w:spacing w:beforeAutospacing="1" w:afterAutospacing="1"/>
        <w:rPr>
          <w:rFonts w:ascii="Calibri" w:hAnsi="Calibri" w:cs="Calibri"/>
          <w:sz w:val="24"/>
          <w:szCs w:val="24"/>
        </w:rPr>
      </w:pPr>
      <w:r w:rsidRPr="007C5913">
        <w:rPr>
          <w:rFonts w:ascii="Calibri" w:hAnsi="Calibri" w:cs="Calibri"/>
          <w:sz w:val="24"/>
          <w:szCs w:val="24"/>
        </w:rPr>
        <w:t xml:space="preserve">We ask the Commission to consider both measures to ensure a uniform assessment and the economic stability of Notified Bodies as an integral part of the simplification and </w:t>
      </w:r>
      <w:r w:rsidRPr="007C5913">
        <w:rPr>
          <w:rFonts w:ascii="Calibri" w:hAnsi="Calibri" w:cs="Calibri"/>
          <w:sz w:val="24"/>
          <w:szCs w:val="24"/>
        </w:rPr>
        <w:lastRenderedPageBreak/>
        <w:t>enforcement strategy in the Single Market and to consider corresponding reimbursement schemes in the context of the envisaged proposals to implement a strategy for the Digital Omnibus. </w:t>
      </w:r>
    </w:p>
    <w:sectPr w:rsidR="00EE5FA9" w:rsidRPr="007C5913" w:rsidSect="0074566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BAC3" w14:textId="77777777" w:rsidR="00316E0B" w:rsidRDefault="00316E0B" w:rsidP="00156BD8">
      <w:pPr>
        <w:spacing w:before="0" w:after="0" w:line="240" w:lineRule="auto"/>
      </w:pPr>
      <w:r>
        <w:separator/>
      </w:r>
    </w:p>
  </w:endnote>
  <w:endnote w:type="continuationSeparator" w:id="0">
    <w:p w14:paraId="0A2543F4" w14:textId="77777777" w:rsidR="00316E0B" w:rsidRDefault="00316E0B" w:rsidP="00156B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CC2C" w14:textId="77777777" w:rsidR="00BA67BF" w:rsidRDefault="00BA67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397385"/>
      <w:docPartObj>
        <w:docPartGallery w:val="Page Numbers (Bottom of Page)"/>
        <w:docPartUnique/>
      </w:docPartObj>
    </w:sdtPr>
    <w:sdtEndPr/>
    <w:sdtContent>
      <w:p w14:paraId="352D8F51" w14:textId="0473BB1B" w:rsidR="005D3652" w:rsidRDefault="005D3652">
        <w:pPr>
          <w:pStyle w:val="Pieddepage"/>
          <w:jc w:val="right"/>
        </w:pPr>
        <w:r>
          <w:fldChar w:fldCharType="begin"/>
        </w:r>
        <w:r>
          <w:instrText>PAGE   \* MERGEFORMAT</w:instrText>
        </w:r>
        <w:r>
          <w:fldChar w:fldCharType="separate"/>
        </w:r>
        <w:r>
          <w:rPr>
            <w:lang w:val="fr-FR"/>
          </w:rPr>
          <w:t>2</w:t>
        </w:r>
        <w:r>
          <w:fldChar w:fldCharType="end"/>
        </w:r>
      </w:p>
    </w:sdtContent>
  </w:sdt>
  <w:p w14:paraId="2006C09C" w14:textId="517DCE23" w:rsidR="00156BD8" w:rsidRPr="00BA67BF" w:rsidRDefault="005D3652">
    <w:pPr>
      <w:pStyle w:val="Pieddepage"/>
      <w:rPr>
        <w:sz w:val="18"/>
        <w:szCs w:val="18"/>
      </w:rPr>
    </w:pPr>
    <w:r w:rsidRPr="00BA67BF">
      <w:rPr>
        <w:sz w:val="18"/>
        <w:szCs w:val="18"/>
      </w:rPr>
      <w:fldChar w:fldCharType="begin"/>
    </w:r>
    <w:r w:rsidRPr="00BA67BF">
      <w:rPr>
        <w:sz w:val="18"/>
        <w:szCs w:val="18"/>
      </w:rPr>
      <w:instrText xml:space="preserve"> FILENAME   \* MERGEFORMAT </w:instrText>
    </w:r>
    <w:r w:rsidRPr="00BA67BF">
      <w:rPr>
        <w:sz w:val="18"/>
        <w:szCs w:val="18"/>
      </w:rPr>
      <w:fldChar w:fldCharType="separate"/>
    </w:r>
    <w:r w:rsidR="009602B1">
      <w:rPr>
        <w:noProof/>
        <w:sz w:val="18"/>
        <w:szCs w:val="18"/>
      </w:rPr>
      <w:t>NBs-MDRIVDR-Call-For-Evidence-DG-Connect-20251013</w:t>
    </w:r>
    <w:r w:rsidRPr="00BA67B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8959" w14:textId="77777777" w:rsidR="00BA67BF" w:rsidRDefault="00BA67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96E3" w14:textId="77777777" w:rsidR="00316E0B" w:rsidRDefault="00316E0B" w:rsidP="00156BD8">
      <w:pPr>
        <w:spacing w:before="0" w:after="0" w:line="240" w:lineRule="auto"/>
      </w:pPr>
      <w:r>
        <w:separator/>
      </w:r>
    </w:p>
  </w:footnote>
  <w:footnote w:type="continuationSeparator" w:id="0">
    <w:p w14:paraId="7F23B636" w14:textId="77777777" w:rsidR="00316E0B" w:rsidRDefault="00316E0B" w:rsidP="00156B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8801" w14:textId="77777777" w:rsidR="00BA67BF" w:rsidRDefault="00BA67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F161" w14:textId="77777777" w:rsidR="00BA67BF" w:rsidRDefault="00BA67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5EB8" w14:textId="77777777" w:rsidR="00BA67BF" w:rsidRDefault="00BA67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9F"/>
    <w:multiLevelType w:val="hybridMultilevel"/>
    <w:tmpl w:val="BDCCC4C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E004A"/>
    <w:multiLevelType w:val="hybridMultilevel"/>
    <w:tmpl w:val="6A98AD26"/>
    <w:lvl w:ilvl="0" w:tplc="EA509E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E3"/>
    <w:multiLevelType w:val="hybridMultilevel"/>
    <w:tmpl w:val="F79CE754"/>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01E6"/>
    <w:multiLevelType w:val="hybridMultilevel"/>
    <w:tmpl w:val="1136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A22C0"/>
    <w:multiLevelType w:val="multilevel"/>
    <w:tmpl w:val="CE16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F0414"/>
    <w:multiLevelType w:val="hybridMultilevel"/>
    <w:tmpl w:val="E346729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A80EBE"/>
    <w:multiLevelType w:val="hybridMultilevel"/>
    <w:tmpl w:val="A6F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57375"/>
    <w:multiLevelType w:val="hybridMultilevel"/>
    <w:tmpl w:val="4AE83A9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CA9655B"/>
    <w:multiLevelType w:val="hybridMultilevel"/>
    <w:tmpl w:val="277C493A"/>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944417"/>
    <w:multiLevelType w:val="hybridMultilevel"/>
    <w:tmpl w:val="72E8981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6044A51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603EE1"/>
    <w:multiLevelType w:val="hybridMultilevel"/>
    <w:tmpl w:val="CB0ACAE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11" w15:restartNumberingAfterBreak="0">
    <w:nsid w:val="11DA03A3"/>
    <w:multiLevelType w:val="hybridMultilevel"/>
    <w:tmpl w:val="6F50DB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0573C1"/>
    <w:multiLevelType w:val="hybridMultilevel"/>
    <w:tmpl w:val="E47C1C7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1235242D"/>
    <w:multiLevelType w:val="hybridMultilevel"/>
    <w:tmpl w:val="2F7A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A1911"/>
    <w:multiLevelType w:val="hybridMultilevel"/>
    <w:tmpl w:val="3466AD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9A28A174">
      <w:start w:val="1"/>
      <w:numFmt w:val="decimal"/>
      <w:lvlText w:val="(%3)"/>
      <w:lvlJc w:val="left"/>
      <w:pPr>
        <w:ind w:left="2340" w:hanging="360"/>
      </w:pPr>
      <w:rPr>
        <w:rFonts w:hint="default"/>
      </w:rPr>
    </w:lvl>
    <w:lvl w:ilvl="3" w:tplc="EC1A5A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DA413E"/>
    <w:multiLevelType w:val="hybridMultilevel"/>
    <w:tmpl w:val="4A6EB4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183B3F49"/>
    <w:multiLevelType w:val="multilevel"/>
    <w:tmpl w:val="342C0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6D483D"/>
    <w:multiLevelType w:val="hybridMultilevel"/>
    <w:tmpl w:val="2DE0444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8867922"/>
    <w:multiLevelType w:val="hybridMultilevel"/>
    <w:tmpl w:val="B05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BD0889"/>
    <w:multiLevelType w:val="hybridMultilevel"/>
    <w:tmpl w:val="4928E000"/>
    <w:lvl w:ilvl="0" w:tplc="6044A51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F1228A5"/>
    <w:multiLevelType w:val="hybridMultilevel"/>
    <w:tmpl w:val="04CC88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120706E"/>
    <w:multiLevelType w:val="hybridMultilevel"/>
    <w:tmpl w:val="607C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1E61FF"/>
    <w:multiLevelType w:val="hybridMultilevel"/>
    <w:tmpl w:val="75C6B9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4F74A42"/>
    <w:multiLevelType w:val="hybridMultilevel"/>
    <w:tmpl w:val="0B8A2E4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8E04B0"/>
    <w:multiLevelType w:val="hybridMultilevel"/>
    <w:tmpl w:val="23D0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A13DCD"/>
    <w:multiLevelType w:val="hybridMultilevel"/>
    <w:tmpl w:val="784C853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6FC3A6C"/>
    <w:multiLevelType w:val="hybridMultilevel"/>
    <w:tmpl w:val="F7E473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81B55C8"/>
    <w:multiLevelType w:val="hybridMultilevel"/>
    <w:tmpl w:val="5030C2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866041D"/>
    <w:multiLevelType w:val="hybridMultilevel"/>
    <w:tmpl w:val="78500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097522"/>
    <w:multiLevelType w:val="hybridMultilevel"/>
    <w:tmpl w:val="FCC473E8"/>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C44A8C"/>
    <w:multiLevelType w:val="hybridMultilevel"/>
    <w:tmpl w:val="534617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BCF5D88"/>
    <w:multiLevelType w:val="hybridMultilevel"/>
    <w:tmpl w:val="003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67F62"/>
    <w:multiLevelType w:val="hybridMultilevel"/>
    <w:tmpl w:val="67D27DF6"/>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EE9551F"/>
    <w:multiLevelType w:val="hybridMultilevel"/>
    <w:tmpl w:val="AF76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A740D7"/>
    <w:multiLevelType w:val="hybridMultilevel"/>
    <w:tmpl w:val="0D7A57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B803BC"/>
    <w:multiLevelType w:val="hybridMultilevel"/>
    <w:tmpl w:val="FD2895D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552F8C"/>
    <w:multiLevelType w:val="hybridMultilevel"/>
    <w:tmpl w:val="250C8C66"/>
    <w:lvl w:ilvl="0" w:tplc="41B08A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780C40"/>
    <w:multiLevelType w:val="hybridMultilevel"/>
    <w:tmpl w:val="39282286"/>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7AC10A7"/>
    <w:multiLevelType w:val="hybridMultilevel"/>
    <w:tmpl w:val="3DA41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7F27F1D"/>
    <w:multiLevelType w:val="hybridMultilevel"/>
    <w:tmpl w:val="213EACB6"/>
    <w:lvl w:ilvl="0" w:tplc="20000001">
      <w:start w:val="1"/>
      <w:numFmt w:val="bullet"/>
      <w:lvlText w:val=""/>
      <w:lvlJc w:val="left"/>
      <w:pPr>
        <w:ind w:left="1080" w:hanging="360"/>
      </w:pPr>
      <w:rPr>
        <w:rFonts w:ascii="Symbol" w:hAnsi="Symbol" w:hint="default"/>
      </w:rPr>
    </w:lvl>
    <w:lvl w:ilvl="1" w:tplc="48AAFCA2">
      <w:start w:val="1"/>
      <w:numFmt w:val="bullet"/>
      <w:lvlText w:val="•"/>
      <w:lvlJc w:val="left"/>
      <w:pPr>
        <w:ind w:left="2160" w:hanging="720"/>
      </w:pPr>
      <w:rPr>
        <w:rFonts w:ascii="Arial" w:eastAsiaTheme="minorHAnsi" w:hAnsi="Arial" w:cs="Arial"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3AAB7CA4"/>
    <w:multiLevelType w:val="hybridMultilevel"/>
    <w:tmpl w:val="C67ACB8A"/>
    <w:lvl w:ilvl="0" w:tplc="6044A512">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1E6B56A">
      <w:start w:val="1"/>
      <w:numFmt w:val="bullet"/>
      <w:lvlText w:val="-"/>
      <w:lvlJc w:val="left"/>
      <w:pPr>
        <w:ind w:left="4500" w:hanging="720"/>
      </w:pPr>
      <w:rPr>
        <w:rFonts w:ascii="Arial" w:eastAsiaTheme="minorHAnsi" w:hAnsi="Arial" w:cs="Aria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AAF79A2"/>
    <w:multiLevelType w:val="hybridMultilevel"/>
    <w:tmpl w:val="1F04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E02E38"/>
    <w:multiLevelType w:val="hybridMultilevel"/>
    <w:tmpl w:val="EE1E8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3D4415C2"/>
    <w:multiLevelType w:val="hybridMultilevel"/>
    <w:tmpl w:val="E23241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EE77F1"/>
    <w:multiLevelType w:val="hybridMultilevel"/>
    <w:tmpl w:val="6B06206E"/>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F4E531A"/>
    <w:multiLevelType w:val="hybridMultilevel"/>
    <w:tmpl w:val="A97C8BF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0D55EC7"/>
    <w:multiLevelType w:val="hybridMultilevel"/>
    <w:tmpl w:val="10084334"/>
    <w:lvl w:ilvl="0" w:tplc="BFA843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4E0370"/>
    <w:multiLevelType w:val="hybridMultilevel"/>
    <w:tmpl w:val="9CC22DF8"/>
    <w:lvl w:ilvl="0" w:tplc="959C098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8662BA"/>
    <w:multiLevelType w:val="hybridMultilevel"/>
    <w:tmpl w:val="76BC99C4"/>
    <w:lvl w:ilvl="0" w:tplc="EEBE8DAA">
      <w:start w:val="5"/>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3FE2D3F"/>
    <w:multiLevelType w:val="hybridMultilevel"/>
    <w:tmpl w:val="EDF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8061D7"/>
    <w:multiLevelType w:val="hybridMultilevel"/>
    <w:tmpl w:val="A604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1D69B7"/>
    <w:multiLevelType w:val="hybridMultilevel"/>
    <w:tmpl w:val="B41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B16BC4"/>
    <w:multiLevelType w:val="hybridMultilevel"/>
    <w:tmpl w:val="F91C469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6A64AC"/>
    <w:multiLevelType w:val="hybridMultilevel"/>
    <w:tmpl w:val="EE06EA86"/>
    <w:lvl w:ilvl="0" w:tplc="BC82823E">
      <w:start w:val="1"/>
      <w:numFmt w:val="bullet"/>
      <w:lvlText w:val=""/>
      <w:lvlJc w:val="left"/>
      <w:pPr>
        <w:ind w:left="720" w:hanging="360"/>
      </w:pPr>
      <w:rPr>
        <w:rFonts w:ascii="Symbol" w:hAnsi="Symbol" w:hint="default"/>
      </w:rPr>
    </w:lvl>
    <w:lvl w:ilvl="1" w:tplc="271CBE8C">
      <w:start w:val="1"/>
      <w:numFmt w:val="bullet"/>
      <w:lvlText w:val="o"/>
      <w:lvlJc w:val="left"/>
      <w:pPr>
        <w:ind w:left="1440" w:hanging="360"/>
      </w:pPr>
      <w:rPr>
        <w:rFonts w:ascii="Courier New" w:hAnsi="Courier New" w:hint="default"/>
      </w:rPr>
    </w:lvl>
    <w:lvl w:ilvl="2" w:tplc="77A80730">
      <w:start w:val="1"/>
      <w:numFmt w:val="bullet"/>
      <w:lvlText w:val=""/>
      <w:lvlJc w:val="left"/>
      <w:pPr>
        <w:ind w:left="2160" w:hanging="360"/>
      </w:pPr>
      <w:rPr>
        <w:rFonts w:ascii="Wingdings" w:hAnsi="Wingdings" w:hint="default"/>
      </w:rPr>
    </w:lvl>
    <w:lvl w:ilvl="3" w:tplc="11CADE3E">
      <w:start w:val="1"/>
      <w:numFmt w:val="bullet"/>
      <w:lvlText w:val=""/>
      <w:lvlJc w:val="left"/>
      <w:pPr>
        <w:ind w:left="2880" w:hanging="360"/>
      </w:pPr>
      <w:rPr>
        <w:rFonts w:ascii="Symbol" w:hAnsi="Symbol" w:hint="default"/>
      </w:rPr>
    </w:lvl>
    <w:lvl w:ilvl="4" w:tplc="8A24FA94">
      <w:start w:val="1"/>
      <w:numFmt w:val="bullet"/>
      <w:lvlText w:val="o"/>
      <w:lvlJc w:val="left"/>
      <w:pPr>
        <w:ind w:left="3600" w:hanging="360"/>
      </w:pPr>
      <w:rPr>
        <w:rFonts w:ascii="Courier New" w:hAnsi="Courier New" w:hint="default"/>
      </w:rPr>
    </w:lvl>
    <w:lvl w:ilvl="5" w:tplc="8C78393A">
      <w:start w:val="1"/>
      <w:numFmt w:val="bullet"/>
      <w:lvlText w:val=""/>
      <w:lvlJc w:val="left"/>
      <w:pPr>
        <w:ind w:left="4320" w:hanging="360"/>
      </w:pPr>
      <w:rPr>
        <w:rFonts w:ascii="Wingdings" w:hAnsi="Wingdings" w:hint="default"/>
      </w:rPr>
    </w:lvl>
    <w:lvl w:ilvl="6" w:tplc="F0A21D7C">
      <w:start w:val="1"/>
      <w:numFmt w:val="bullet"/>
      <w:lvlText w:val=""/>
      <w:lvlJc w:val="left"/>
      <w:pPr>
        <w:ind w:left="5040" w:hanging="360"/>
      </w:pPr>
      <w:rPr>
        <w:rFonts w:ascii="Symbol" w:hAnsi="Symbol" w:hint="default"/>
      </w:rPr>
    </w:lvl>
    <w:lvl w:ilvl="7" w:tplc="9EA25244">
      <w:start w:val="1"/>
      <w:numFmt w:val="bullet"/>
      <w:lvlText w:val="o"/>
      <w:lvlJc w:val="left"/>
      <w:pPr>
        <w:ind w:left="5760" w:hanging="360"/>
      </w:pPr>
      <w:rPr>
        <w:rFonts w:ascii="Courier New" w:hAnsi="Courier New" w:hint="default"/>
      </w:rPr>
    </w:lvl>
    <w:lvl w:ilvl="8" w:tplc="67FE126C">
      <w:start w:val="1"/>
      <w:numFmt w:val="bullet"/>
      <w:lvlText w:val=""/>
      <w:lvlJc w:val="left"/>
      <w:pPr>
        <w:ind w:left="6480" w:hanging="360"/>
      </w:pPr>
      <w:rPr>
        <w:rFonts w:ascii="Wingdings" w:hAnsi="Wingdings" w:hint="default"/>
      </w:rPr>
    </w:lvl>
  </w:abstractNum>
  <w:abstractNum w:abstractNumId="54" w15:restartNumberingAfterBreak="0">
    <w:nsid w:val="4EC35F0C"/>
    <w:multiLevelType w:val="hybridMultilevel"/>
    <w:tmpl w:val="349836C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5" w15:restartNumberingAfterBreak="0">
    <w:nsid w:val="5058735E"/>
    <w:multiLevelType w:val="hybridMultilevel"/>
    <w:tmpl w:val="5720EA6E"/>
    <w:lvl w:ilvl="0" w:tplc="C95C84A4">
      <w:start w:val="1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06445D2"/>
    <w:multiLevelType w:val="hybridMultilevel"/>
    <w:tmpl w:val="E8A256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7" w15:restartNumberingAfterBreak="0">
    <w:nsid w:val="57BC0168"/>
    <w:multiLevelType w:val="hybridMultilevel"/>
    <w:tmpl w:val="30EE9CF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8921A31"/>
    <w:multiLevelType w:val="hybridMultilevel"/>
    <w:tmpl w:val="DA94F5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99B5E46"/>
    <w:multiLevelType w:val="hybridMultilevel"/>
    <w:tmpl w:val="2046678E"/>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C76587"/>
    <w:multiLevelType w:val="hybridMultilevel"/>
    <w:tmpl w:val="59245066"/>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216F69"/>
    <w:multiLevelType w:val="hybridMultilevel"/>
    <w:tmpl w:val="A67E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07174"/>
    <w:multiLevelType w:val="hybridMultilevel"/>
    <w:tmpl w:val="9DC0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2A42A8"/>
    <w:multiLevelType w:val="hybridMultilevel"/>
    <w:tmpl w:val="C010C33C"/>
    <w:lvl w:ilvl="0" w:tplc="04090001">
      <w:start w:val="1"/>
      <w:numFmt w:val="bullet"/>
      <w:lvlText w:val=""/>
      <w:lvlJc w:val="left"/>
      <w:pPr>
        <w:ind w:left="1081" w:hanging="361"/>
      </w:pPr>
      <w:rPr>
        <w:rFonts w:ascii="Symbol" w:hAnsi="Symbol" w:hint="default"/>
        <w:b w:val="0"/>
        <w:bCs w:val="0"/>
        <w:i w:val="0"/>
        <w:iCs w:val="0"/>
        <w:spacing w:val="0"/>
        <w:w w:val="101"/>
        <w:sz w:val="22"/>
        <w:szCs w:val="22"/>
        <w:lang w:val="en-US" w:eastAsia="en-US" w:bidi="ar-SA"/>
      </w:rPr>
    </w:lvl>
    <w:lvl w:ilvl="1" w:tplc="763EB942">
      <w:numFmt w:val="bullet"/>
      <w:lvlText w:val="o"/>
      <w:lvlJc w:val="left"/>
      <w:pPr>
        <w:ind w:left="1802" w:hanging="361"/>
      </w:pPr>
      <w:rPr>
        <w:rFonts w:ascii="Courier New" w:eastAsia="Courier New" w:hAnsi="Courier New" w:cs="Courier New" w:hint="default"/>
        <w:b w:val="0"/>
        <w:bCs w:val="0"/>
        <w:i w:val="0"/>
        <w:iCs w:val="0"/>
        <w:spacing w:val="0"/>
        <w:w w:val="101"/>
        <w:sz w:val="22"/>
        <w:szCs w:val="22"/>
        <w:lang w:val="en-US" w:eastAsia="en-US" w:bidi="ar-SA"/>
      </w:rPr>
    </w:lvl>
    <w:lvl w:ilvl="2" w:tplc="AC28F38C">
      <w:numFmt w:val="bullet"/>
      <w:lvlText w:val="•"/>
      <w:lvlJc w:val="left"/>
      <w:pPr>
        <w:ind w:left="2139" w:hanging="361"/>
      </w:pPr>
      <w:rPr>
        <w:rFonts w:hint="default"/>
        <w:lang w:val="en-US" w:eastAsia="en-US" w:bidi="ar-SA"/>
      </w:rPr>
    </w:lvl>
    <w:lvl w:ilvl="3" w:tplc="DF78A87E">
      <w:numFmt w:val="bullet"/>
      <w:lvlText w:val="•"/>
      <w:lvlJc w:val="left"/>
      <w:pPr>
        <w:ind w:left="3068" w:hanging="361"/>
      </w:pPr>
      <w:rPr>
        <w:rFonts w:hint="default"/>
        <w:lang w:val="en-US" w:eastAsia="en-US" w:bidi="ar-SA"/>
      </w:rPr>
    </w:lvl>
    <w:lvl w:ilvl="4" w:tplc="5CF6A89C">
      <w:numFmt w:val="bullet"/>
      <w:lvlText w:val="•"/>
      <w:lvlJc w:val="left"/>
      <w:pPr>
        <w:ind w:left="3998" w:hanging="361"/>
      </w:pPr>
      <w:rPr>
        <w:rFonts w:hint="default"/>
        <w:lang w:val="en-US" w:eastAsia="en-US" w:bidi="ar-SA"/>
      </w:rPr>
    </w:lvl>
    <w:lvl w:ilvl="5" w:tplc="1BD0709E">
      <w:numFmt w:val="bullet"/>
      <w:lvlText w:val="•"/>
      <w:lvlJc w:val="left"/>
      <w:pPr>
        <w:ind w:left="4927" w:hanging="361"/>
      </w:pPr>
      <w:rPr>
        <w:rFonts w:hint="default"/>
        <w:lang w:val="en-US" w:eastAsia="en-US" w:bidi="ar-SA"/>
      </w:rPr>
    </w:lvl>
    <w:lvl w:ilvl="6" w:tplc="D62CD80E">
      <w:numFmt w:val="bullet"/>
      <w:lvlText w:val="•"/>
      <w:lvlJc w:val="left"/>
      <w:pPr>
        <w:ind w:left="5857" w:hanging="361"/>
      </w:pPr>
      <w:rPr>
        <w:rFonts w:hint="default"/>
        <w:lang w:val="en-US" w:eastAsia="en-US" w:bidi="ar-SA"/>
      </w:rPr>
    </w:lvl>
    <w:lvl w:ilvl="7" w:tplc="27D6981C">
      <w:numFmt w:val="bullet"/>
      <w:lvlText w:val="•"/>
      <w:lvlJc w:val="left"/>
      <w:pPr>
        <w:ind w:left="6787" w:hanging="361"/>
      </w:pPr>
      <w:rPr>
        <w:rFonts w:hint="default"/>
        <w:lang w:val="en-US" w:eastAsia="en-US" w:bidi="ar-SA"/>
      </w:rPr>
    </w:lvl>
    <w:lvl w:ilvl="8" w:tplc="EBF60530">
      <w:numFmt w:val="bullet"/>
      <w:lvlText w:val="•"/>
      <w:lvlJc w:val="left"/>
      <w:pPr>
        <w:ind w:left="7716" w:hanging="361"/>
      </w:pPr>
      <w:rPr>
        <w:rFonts w:hint="default"/>
        <w:lang w:val="en-US" w:eastAsia="en-US" w:bidi="ar-SA"/>
      </w:rPr>
    </w:lvl>
  </w:abstractNum>
  <w:abstractNum w:abstractNumId="64" w15:restartNumberingAfterBreak="0">
    <w:nsid w:val="62F04E46"/>
    <w:multiLevelType w:val="hybridMultilevel"/>
    <w:tmpl w:val="17C2B096"/>
    <w:lvl w:ilvl="0" w:tplc="07F0E8AE">
      <w:start w:val="1"/>
      <w:numFmt w:val="bullet"/>
      <w:lvlText w:val=""/>
      <w:lvlJc w:val="left"/>
      <w:pPr>
        <w:ind w:left="720" w:hanging="360"/>
      </w:pPr>
      <w:rPr>
        <w:rFonts w:ascii="Symbol" w:hAnsi="Symbol" w:hint="default"/>
      </w:rPr>
    </w:lvl>
    <w:lvl w:ilvl="1" w:tplc="F5AA1D70">
      <w:start w:val="1"/>
      <w:numFmt w:val="bullet"/>
      <w:lvlText w:val="o"/>
      <w:lvlJc w:val="left"/>
      <w:pPr>
        <w:ind w:left="1440" w:hanging="360"/>
      </w:pPr>
      <w:rPr>
        <w:rFonts w:ascii="Courier New" w:hAnsi="Courier New" w:hint="default"/>
      </w:rPr>
    </w:lvl>
    <w:lvl w:ilvl="2" w:tplc="C226A848">
      <w:start w:val="1"/>
      <w:numFmt w:val="bullet"/>
      <w:lvlText w:val=""/>
      <w:lvlJc w:val="left"/>
      <w:pPr>
        <w:ind w:left="2160" w:hanging="360"/>
      </w:pPr>
      <w:rPr>
        <w:rFonts w:ascii="Wingdings" w:hAnsi="Wingdings" w:hint="default"/>
      </w:rPr>
    </w:lvl>
    <w:lvl w:ilvl="3" w:tplc="490E2202">
      <w:start w:val="1"/>
      <w:numFmt w:val="bullet"/>
      <w:lvlText w:val=""/>
      <w:lvlJc w:val="left"/>
      <w:pPr>
        <w:ind w:left="2880" w:hanging="360"/>
      </w:pPr>
      <w:rPr>
        <w:rFonts w:ascii="Symbol" w:hAnsi="Symbol" w:hint="default"/>
      </w:rPr>
    </w:lvl>
    <w:lvl w:ilvl="4" w:tplc="ECB68440">
      <w:start w:val="1"/>
      <w:numFmt w:val="bullet"/>
      <w:lvlText w:val="o"/>
      <w:lvlJc w:val="left"/>
      <w:pPr>
        <w:ind w:left="3600" w:hanging="360"/>
      </w:pPr>
      <w:rPr>
        <w:rFonts w:ascii="Courier New" w:hAnsi="Courier New" w:hint="default"/>
      </w:rPr>
    </w:lvl>
    <w:lvl w:ilvl="5" w:tplc="30E41198">
      <w:start w:val="1"/>
      <w:numFmt w:val="bullet"/>
      <w:lvlText w:val=""/>
      <w:lvlJc w:val="left"/>
      <w:pPr>
        <w:ind w:left="4320" w:hanging="360"/>
      </w:pPr>
      <w:rPr>
        <w:rFonts w:ascii="Wingdings" w:hAnsi="Wingdings" w:hint="default"/>
      </w:rPr>
    </w:lvl>
    <w:lvl w:ilvl="6" w:tplc="33C21966">
      <w:start w:val="1"/>
      <w:numFmt w:val="bullet"/>
      <w:lvlText w:val=""/>
      <w:lvlJc w:val="left"/>
      <w:pPr>
        <w:ind w:left="5040" w:hanging="360"/>
      </w:pPr>
      <w:rPr>
        <w:rFonts w:ascii="Symbol" w:hAnsi="Symbol" w:hint="default"/>
      </w:rPr>
    </w:lvl>
    <w:lvl w:ilvl="7" w:tplc="C9D8DACC">
      <w:start w:val="1"/>
      <w:numFmt w:val="bullet"/>
      <w:lvlText w:val="o"/>
      <w:lvlJc w:val="left"/>
      <w:pPr>
        <w:ind w:left="5760" w:hanging="360"/>
      </w:pPr>
      <w:rPr>
        <w:rFonts w:ascii="Courier New" w:hAnsi="Courier New" w:hint="default"/>
      </w:rPr>
    </w:lvl>
    <w:lvl w:ilvl="8" w:tplc="7564E3E8">
      <w:start w:val="1"/>
      <w:numFmt w:val="bullet"/>
      <w:lvlText w:val=""/>
      <w:lvlJc w:val="left"/>
      <w:pPr>
        <w:ind w:left="6480" w:hanging="360"/>
      </w:pPr>
      <w:rPr>
        <w:rFonts w:ascii="Wingdings" w:hAnsi="Wingdings" w:hint="default"/>
      </w:rPr>
    </w:lvl>
  </w:abstractNum>
  <w:abstractNum w:abstractNumId="65" w15:restartNumberingAfterBreak="0">
    <w:nsid w:val="646F35CF"/>
    <w:multiLevelType w:val="hybridMultilevel"/>
    <w:tmpl w:val="EE4EE4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A297216"/>
    <w:multiLevelType w:val="hybridMultilevel"/>
    <w:tmpl w:val="4828A9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6D0D67DE"/>
    <w:multiLevelType w:val="hybridMultilevel"/>
    <w:tmpl w:val="5BB0F0DC"/>
    <w:lvl w:ilvl="0" w:tplc="238E7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D214795"/>
    <w:multiLevelType w:val="hybridMultilevel"/>
    <w:tmpl w:val="BFFA4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0DC752C"/>
    <w:multiLevelType w:val="hybridMultilevel"/>
    <w:tmpl w:val="FA3EDD68"/>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9E4F0F"/>
    <w:multiLevelType w:val="hybridMultilevel"/>
    <w:tmpl w:val="6D84C8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4E24732"/>
    <w:multiLevelType w:val="hybridMultilevel"/>
    <w:tmpl w:val="13BC6170"/>
    <w:lvl w:ilvl="0" w:tplc="7EB0AAA6">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6657D8"/>
    <w:multiLevelType w:val="hybridMultilevel"/>
    <w:tmpl w:val="7B1E943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B2352C"/>
    <w:multiLevelType w:val="hybridMultilevel"/>
    <w:tmpl w:val="0BC6FE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7B6457F"/>
    <w:multiLevelType w:val="hybridMultilevel"/>
    <w:tmpl w:val="2B9C7122"/>
    <w:lvl w:ilvl="0" w:tplc="B4A0F3B0">
      <w:start w:val="1"/>
      <w:numFmt w:val="decimal"/>
      <w:lvlText w:val="%1."/>
      <w:lvlJc w:val="left"/>
      <w:pPr>
        <w:ind w:left="360" w:hanging="360"/>
      </w:pPr>
    </w:lvl>
    <w:lvl w:ilvl="1" w:tplc="430EE9C8">
      <w:start w:val="1"/>
      <w:numFmt w:val="lowerLetter"/>
      <w:lvlText w:val="%2."/>
      <w:lvlJc w:val="left"/>
      <w:pPr>
        <w:ind w:left="1080" w:hanging="360"/>
      </w:pPr>
    </w:lvl>
    <w:lvl w:ilvl="2" w:tplc="2D986BD6">
      <w:start w:val="1"/>
      <w:numFmt w:val="lowerRoman"/>
      <w:lvlText w:val="%3."/>
      <w:lvlJc w:val="right"/>
      <w:pPr>
        <w:ind w:left="1800" w:hanging="180"/>
      </w:pPr>
    </w:lvl>
    <w:lvl w:ilvl="3" w:tplc="4FD4EB76">
      <w:start w:val="1"/>
      <w:numFmt w:val="decimal"/>
      <w:lvlText w:val="%4."/>
      <w:lvlJc w:val="left"/>
      <w:pPr>
        <w:ind w:left="2520" w:hanging="360"/>
      </w:pPr>
    </w:lvl>
    <w:lvl w:ilvl="4" w:tplc="CD025CDC">
      <w:start w:val="1"/>
      <w:numFmt w:val="lowerLetter"/>
      <w:lvlText w:val="%5."/>
      <w:lvlJc w:val="left"/>
      <w:pPr>
        <w:ind w:left="3240" w:hanging="360"/>
      </w:pPr>
    </w:lvl>
    <w:lvl w:ilvl="5" w:tplc="C9AC8264">
      <w:start w:val="1"/>
      <w:numFmt w:val="lowerRoman"/>
      <w:lvlText w:val="%6."/>
      <w:lvlJc w:val="right"/>
      <w:pPr>
        <w:ind w:left="3960" w:hanging="180"/>
      </w:pPr>
    </w:lvl>
    <w:lvl w:ilvl="6" w:tplc="DF1A8228">
      <w:start w:val="1"/>
      <w:numFmt w:val="decimal"/>
      <w:lvlText w:val="%7."/>
      <w:lvlJc w:val="left"/>
      <w:pPr>
        <w:ind w:left="4680" w:hanging="360"/>
      </w:pPr>
    </w:lvl>
    <w:lvl w:ilvl="7" w:tplc="9BBA972E">
      <w:start w:val="1"/>
      <w:numFmt w:val="lowerLetter"/>
      <w:lvlText w:val="%8."/>
      <w:lvlJc w:val="left"/>
      <w:pPr>
        <w:ind w:left="5400" w:hanging="360"/>
      </w:pPr>
    </w:lvl>
    <w:lvl w:ilvl="8" w:tplc="44F4BF9C">
      <w:start w:val="1"/>
      <w:numFmt w:val="lowerRoman"/>
      <w:lvlText w:val="%9."/>
      <w:lvlJc w:val="right"/>
      <w:pPr>
        <w:ind w:left="6120" w:hanging="180"/>
      </w:pPr>
    </w:lvl>
  </w:abstractNum>
  <w:abstractNum w:abstractNumId="75" w15:restartNumberingAfterBreak="0">
    <w:nsid w:val="79184E20"/>
    <w:multiLevelType w:val="multilevel"/>
    <w:tmpl w:val="ACA6D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660BAA"/>
    <w:multiLevelType w:val="hybridMultilevel"/>
    <w:tmpl w:val="4C34CB96"/>
    <w:lvl w:ilvl="0" w:tplc="BCC0B85E">
      <w:start w:val="6"/>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9C26953"/>
    <w:multiLevelType w:val="hybridMultilevel"/>
    <w:tmpl w:val="3466AD3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9D22D44"/>
    <w:multiLevelType w:val="hybridMultilevel"/>
    <w:tmpl w:val="ABC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A47B56"/>
    <w:multiLevelType w:val="hybridMultilevel"/>
    <w:tmpl w:val="A9E4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0E06FE"/>
    <w:multiLevelType w:val="hybridMultilevel"/>
    <w:tmpl w:val="1B366DBC"/>
    <w:lvl w:ilvl="0" w:tplc="0809000F">
      <w:start w:val="1"/>
      <w:numFmt w:val="decimal"/>
      <w:lvlText w:val="%1."/>
      <w:lvlJc w:val="left"/>
      <w:pPr>
        <w:ind w:left="360" w:hanging="360"/>
      </w:pPr>
    </w:lvl>
    <w:lvl w:ilvl="1" w:tplc="5D82BA56">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9825917">
    <w:abstractNumId w:val="12"/>
  </w:num>
  <w:num w:numId="2" w16cid:durableId="1521550781">
    <w:abstractNumId w:val="56"/>
  </w:num>
  <w:num w:numId="3" w16cid:durableId="1306623810">
    <w:abstractNumId w:val="54"/>
  </w:num>
  <w:num w:numId="4" w16cid:durableId="496270571">
    <w:abstractNumId w:val="15"/>
  </w:num>
  <w:num w:numId="5" w16cid:durableId="1247689109">
    <w:abstractNumId w:val="39"/>
  </w:num>
  <w:num w:numId="6" w16cid:durableId="443422492">
    <w:abstractNumId w:val="45"/>
  </w:num>
  <w:num w:numId="7" w16cid:durableId="1458797620">
    <w:abstractNumId w:val="38"/>
  </w:num>
  <w:num w:numId="8" w16cid:durableId="770246810">
    <w:abstractNumId w:val="25"/>
  </w:num>
  <w:num w:numId="9" w16cid:durableId="1998338608">
    <w:abstractNumId w:val="42"/>
  </w:num>
  <w:num w:numId="10" w16cid:durableId="1207524830">
    <w:abstractNumId w:val="62"/>
  </w:num>
  <w:num w:numId="11" w16cid:durableId="432940187">
    <w:abstractNumId w:val="6"/>
  </w:num>
  <w:num w:numId="12" w16cid:durableId="732771477">
    <w:abstractNumId w:val="78"/>
  </w:num>
  <w:num w:numId="13" w16cid:durableId="973367055">
    <w:abstractNumId w:val="79"/>
  </w:num>
  <w:num w:numId="14" w16cid:durableId="594439499">
    <w:abstractNumId w:val="13"/>
  </w:num>
  <w:num w:numId="15" w16cid:durableId="144590803">
    <w:abstractNumId w:val="24"/>
  </w:num>
  <w:num w:numId="16" w16cid:durableId="1778208344">
    <w:abstractNumId w:val="49"/>
  </w:num>
  <w:num w:numId="17" w16cid:durableId="1439369294">
    <w:abstractNumId w:val="51"/>
  </w:num>
  <w:num w:numId="18" w16cid:durableId="137843719">
    <w:abstractNumId w:val="61"/>
  </w:num>
  <w:num w:numId="19" w16cid:durableId="2129426127">
    <w:abstractNumId w:val="22"/>
  </w:num>
  <w:num w:numId="20" w16cid:durableId="282930763">
    <w:abstractNumId w:val="26"/>
  </w:num>
  <w:num w:numId="21" w16cid:durableId="2092313564">
    <w:abstractNumId w:val="63"/>
  </w:num>
  <w:num w:numId="22" w16cid:durableId="583880795">
    <w:abstractNumId w:val="5"/>
  </w:num>
  <w:num w:numId="23" w16cid:durableId="294606183">
    <w:abstractNumId w:val="7"/>
  </w:num>
  <w:num w:numId="24" w16cid:durableId="1366366960">
    <w:abstractNumId w:val="14"/>
  </w:num>
  <w:num w:numId="25" w16cid:durableId="904412775">
    <w:abstractNumId w:val="44"/>
  </w:num>
  <w:num w:numId="26" w16cid:durableId="344745433">
    <w:abstractNumId w:val="70"/>
  </w:num>
  <w:num w:numId="27" w16cid:durableId="434254801">
    <w:abstractNumId w:val="20"/>
  </w:num>
  <w:num w:numId="28" w16cid:durableId="1881475899">
    <w:abstractNumId w:val="17"/>
  </w:num>
  <w:num w:numId="29" w16cid:durableId="1076584595">
    <w:abstractNumId w:val="37"/>
  </w:num>
  <w:num w:numId="30" w16cid:durableId="1376660656">
    <w:abstractNumId w:val="8"/>
  </w:num>
  <w:num w:numId="31" w16cid:durableId="2128157508">
    <w:abstractNumId w:val="32"/>
  </w:num>
  <w:num w:numId="32" w16cid:durableId="1918854324">
    <w:abstractNumId w:val="9"/>
  </w:num>
  <w:num w:numId="33" w16cid:durableId="1983922340">
    <w:abstractNumId w:val="40"/>
  </w:num>
  <w:num w:numId="34" w16cid:durableId="1328244419">
    <w:abstractNumId w:val="0"/>
  </w:num>
  <w:num w:numId="35" w16cid:durableId="1760524001">
    <w:abstractNumId w:val="77"/>
  </w:num>
  <w:num w:numId="36" w16cid:durableId="479617775">
    <w:abstractNumId w:val="27"/>
  </w:num>
  <w:num w:numId="37" w16cid:durableId="2017803978">
    <w:abstractNumId w:val="19"/>
  </w:num>
  <w:num w:numId="38" w16cid:durableId="1612475159">
    <w:abstractNumId w:val="34"/>
  </w:num>
  <w:num w:numId="39" w16cid:durableId="1648631148">
    <w:abstractNumId w:val="73"/>
  </w:num>
  <w:num w:numId="40" w16cid:durableId="255066814">
    <w:abstractNumId w:val="55"/>
  </w:num>
  <w:num w:numId="41" w16cid:durableId="683946205">
    <w:abstractNumId w:val="48"/>
  </w:num>
  <w:num w:numId="42" w16cid:durableId="1212307367">
    <w:abstractNumId w:val="76"/>
  </w:num>
  <w:num w:numId="43" w16cid:durableId="1140458022">
    <w:abstractNumId w:val="74"/>
  </w:num>
  <w:num w:numId="44" w16cid:durableId="1130974865">
    <w:abstractNumId w:val="57"/>
  </w:num>
  <w:num w:numId="45" w16cid:durableId="2016683152">
    <w:abstractNumId w:val="58"/>
  </w:num>
  <w:num w:numId="46" w16cid:durableId="1671761865">
    <w:abstractNumId w:val="43"/>
  </w:num>
  <w:num w:numId="47" w16cid:durableId="1286503444">
    <w:abstractNumId w:val="65"/>
  </w:num>
  <w:num w:numId="48" w16cid:durableId="1574007674">
    <w:abstractNumId w:val="53"/>
  </w:num>
  <w:num w:numId="49" w16cid:durableId="1369145240">
    <w:abstractNumId w:val="64"/>
  </w:num>
  <w:num w:numId="50" w16cid:durableId="1828745454">
    <w:abstractNumId w:val="30"/>
  </w:num>
  <w:num w:numId="51" w16cid:durableId="1772554294">
    <w:abstractNumId w:val="23"/>
  </w:num>
  <w:num w:numId="52" w16cid:durableId="459156936">
    <w:abstractNumId w:val="11"/>
  </w:num>
  <w:num w:numId="53" w16cid:durableId="2021926992">
    <w:abstractNumId w:val="16"/>
  </w:num>
  <w:num w:numId="54" w16cid:durableId="98843056">
    <w:abstractNumId w:val="75"/>
  </w:num>
  <w:num w:numId="55" w16cid:durableId="2061857617">
    <w:abstractNumId w:val="41"/>
  </w:num>
  <w:num w:numId="56" w16cid:durableId="1472944708">
    <w:abstractNumId w:val="33"/>
  </w:num>
  <w:num w:numId="57" w16cid:durableId="1850178011">
    <w:abstractNumId w:val="4"/>
  </w:num>
  <w:num w:numId="58" w16cid:durableId="1154026543">
    <w:abstractNumId w:val="31"/>
  </w:num>
  <w:num w:numId="59" w16cid:durableId="1573003752">
    <w:abstractNumId w:val="80"/>
  </w:num>
  <w:num w:numId="60" w16cid:durableId="586382615">
    <w:abstractNumId w:val="21"/>
  </w:num>
  <w:num w:numId="61" w16cid:durableId="671251988">
    <w:abstractNumId w:val="28"/>
  </w:num>
  <w:num w:numId="62" w16cid:durableId="1987584708">
    <w:abstractNumId w:val="46"/>
  </w:num>
  <w:num w:numId="63" w16cid:durableId="579758048">
    <w:abstractNumId w:val="71"/>
  </w:num>
  <w:num w:numId="64" w16cid:durableId="97409685">
    <w:abstractNumId w:val="72"/>
  </w:num>
  <w:num w:numId="65" w16cid:durableId="1516965305">
    <w:abstractNumId w:val="36"/>
  </w:num>
  <w:num w:numId="66" w16cid:durableId="2053309486">
    <w:abstractNumId w:val="1"/>
  </w:num>
  <w:num w:numId="67" w16cid:durableId="1677802296">
    <w:abstractNumId w:val="67"/>
  </w:num>
  <w:num w:numId="68" w16cid:durableId="1870217298">
    <w:abstractNumId w:val="52"/>
  </w:num>
  <w:num w:numId="69" w16cid:durableId="119542361">
    <w:abstractNumId w:val="2"/>
  </w:num>
  <w:num w:numId="70" w16cid:durableId="656230136">
    <w:abstractNumId w:val="60"/>
  </w:num>
  <w:num w:numId="71" w16cid:durableId="688146594">
    <w:abstractNumId w:val="35"/>
  </w:num>
  <w:num w:numId="72" w16cid:durableId="1310673684">
    <w:abstractNumId w:val="69"/>
  </w:num>
  <w:num w:numId="73" w16cid:durableId="792599826">
    <w:abstractNumId w:val="68"/>
  </w:num>
  <w:num w:numId="74" w16cid:durableId="2030524987">
    <w:abstractNumId w:val="50"/>
  </w:num>
  <w:num w:numId="75" w16cid:durableId="611324565">
    <w:abstractNumId w:val="3"/>
  </w:num>
  <w:num w:numId="76" w16cid:durableId="40834986">
    <w:abstractNumId w:val="18"/>
  </w:num>
  <w:num w:numId="77" w16cid:durableId="1830828088">
    <w:abstractNumId w:val="29"/>
  </w:num>
  <w:num w:numId="78" w16cid:durableId="132258138">
    <w:abstractNumId w:val="47"/>
  </w:num>
  <w:num w:numId="79" w16cid:durableId="1371802354">
    <w:abstractNumId w:val="59"/>
  </w:num>
  <w:num w:numId="80" w16cid:durableId="119501638">
    <w:abstractNumId w:val="10"/>
  </w:num>
  <w:num w:numId="81" w16cid:durableId="1520241167">
    <w:abstractNumId w:val="6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B"/>
    <w:rsid w:val="0000152B"/>
    <w:rsid w:val="0000249E"/>
    <w:rsid w:val="00004E89"/>
    <w:rsid w:val="00011943"/>
    <w:rsid w:val="00015A9C"/>
    <w:rsid w:val="00023905"/>
    <w:rsid w:val="00050EF8"/>
    <w:rsid w:val="000550DD"/>
    <w:rsid w:val="000604D9"/>
    <w:rsid w:val="00060A95"/>
    <w:rsid w:val="0007463E"/>
    <w:rsid w:val="0007467E"/>
    <w:rsid w:val="0007541E"/>
    <w:rsid w:val="00086498"/>
    <w:rsid w:val="00094F02"/>
    <w:rsid w:val="00097420"/>
    <w:rsid w:val="000A2291"/>
    <w:rsid w:val="000A36A0"/>
    <w:rsid w:val="000B631C"/>
    <w:rsid w:val="000C3574"/>
    <w:rsid w:val="000C57FC"/>
    <w:rsid w:val="000D0183"/>
    <w:rsid w:val="000D23B1"/>
    <w:rsid w:val="000D47E2"/>
    <w:rsid w:val="000D7178"/>
    <w:rsid w:val="000E3603"/>
    <w:rsid w:val="000F290E"/>
    <w:rsid w:val="000F36D8"/>
    <w:rsid w:val="00116934"/>
    <w:rsid w:val="00122EBA"/>
    <w:rsid w:val="0013033E"/>
    <w:rsid w:val="0013105B"/>
    <w:rsid w:val="0013358C"/>
    <w:rsid w:val="00143F1F"/>
    <w:rsid w:val="00151664"/>
    <w:rsid w:val="00156BD8"/>
    <w:rsid w:val="00161F09"/>
    <w:rsid w:val="0016522A"/>
    <w:rsid w:val="00173336"/>
    <w:rsid w:val="00176253"/>
    <w:rsid w:val="00176C2E"/>
    <w:rsid w:val="00194A0A"/>
    <w:rsid w:val="001B0B45"/>
    <w:rsid w:val="001B540B"/>
    <w:rsid w:val="001C540B"/>
    <w:rsid w:val="001D009A"/>
    <w:rsid w:val="001D7728"/>
    <w:rsid w:val="001E1D5E"/>
    <w:rsid w:val="001E2EB0"/>
    <w:rsid w:val="001E467F"/>
    <w:rsid w:val="001E6FC3"/>
    <w:rsid w:val="001E75DC"/>
    <w:rsid w:val="001F74E5"/>
    <w:rsid w:val="00201B1D"/>
    <w:rsid w:val="00213259"/>
    <w:rsid w:val="00222293"/>
    <w:rsid w:val="00222848"/>
    <w:rsid w:val="00224F6C"/>
    <w:rsid w:val="00232FE4"/>
    <w:rsid w:val="0023392D"/>
    <w:rsid w:val="00241748"/>
    <w:rsid w:val="00245131"/>
    <w:rsid w:val="00250324"/>
    <w:rsid w:val="00254BCE"/>
    <w:rsid w:val="002640F1"/>
    <w:rsid w:val="00264209"/>
    <w:rsid w:val="0026683B"/>
    <w:rsid w:val="002772EC"/>
    <w:rsid w:val="002873D7"/>
    <w:rsid w:val="00290E60"/>
    <w:rsid w:val="00295099"/>
    <w:rsid w:val="002A34F3"/>
    <w:rsid w:val="002A35A8"/>
    <w:rsid w:val="002A688F"/>
    <w:rsid w:val="002B1968"/>
    <w:rsid w:val="002C3E17"/>
    <w:rsid w:val="002E1227"/>
    <w:rsid w:val="002E192A"/>
    <w:rsid w:val="002E2B30"/>
    <w:rsid w:val="002E33D4"/>
    <w:rsid w:val="00312723"/>
    <w:rsid w:val="00316E0B"/>
    <w:rsid w:val="00316EB3"/>
    <w:rsid w:val="00324A87"/>
    <w:rsid w:val="0033511A"/>
    <w:rsid w:val="00336089"/>
    <w:rsid w:val="00350AC4"/>
    <w:rsid w:val="0035136C"/>
    <w:rsid w:val="003552D8"/>
    <w:rsid w:val="00361F24"/>
    <w:rsid w:val="00365432"/>
    <w:rsid w:val="00365C95"/>
    <w:rsid w:val="00371326"/>
    <w:rsid w:val="00373CDC"/>
    <w:rsid w:val="003800A2"/>
    <w:rsid w:val="003A196A"/>
    <w:rsid w:val="003B0C7E"/>
    <w:rsid w:val="003C5C09"/>
    <w:rsid w:val="003D51C3"/>
    <w:rsid w:val="003D7FD3"/>
    <w:rsid w:val="003E0EFE"/>
    <w:rsid w:val="003E48C8"/>
    <w:rsid w:val="003F15DE"/>
    <w:rsid w:val="003F5505"/>
    <w:rsid w:val="003F61F7"/>
    <w:rsid w:val="00402F12"/>
    <w:rsid w:val="00407265"/>
    <w:rsid w:val="004072DE"/>
    <w:rsid w:val="004112D2"/>
    <w:rsid w:val="0041698F"/>
    <w:rsid w:val="00426F3A"/>
    <w:rsid w:val="00427C0D"/>
    <w:rsid w:val="004359E1"/>
    <w:rsid w:val="00442AB5"/>
    <w:rsid w:val="00444B96"/>
    <w:rsid w:val="00452BF6"/>
    <w:rsid w:val="00452C5E"/>
    <w:rsid w:val="00456191"/>
    <w:rsid w:val="0045621B"/>
    <w:rsid w:val="004623D9"/>
    <w:rsid w:val="004635E2"/>
    <w:rsid w:val="004645CD"/>
    <w:rsid w:val="00465EBF"/>
    <w:rsid w:val="00467F2D"/>
    <w:rsid w:val="00471023"/>
    <w:rsid w:val="004720C0"/>
    <w:rsid w:val="00485D3C"/>
    <w:rsid w:val="00492D0F"/>
    <w:rsid w:val="00495BA2"/>
    <w:rsid w:val="004A4B83"/>
    <w:rsid w:val="004B5D4D"/>
    <w:rsid w:val="004B714F"/>
    <w:rsid w:val="004B72D0"/>
    <w:rsid w:val="004C18C9"/>
    <w:rsid w:val="004C6604"/>
    <w:rsid w:val="004D40BB"/>
    <w:rsid w:val="004D6FB9"/>
    <w:rsid w:val="004E4EE4"/>
    <w:rsid w:val="004E529A"/>
    <w:rsid w:val="004F0DA3"/>
    <w:rsid w:val="004F1B8A"/>
    <w:rsid w:val="004F2ABC"/>
    <w:rsid w:val="004F4F56"/>
    <w:rsid w:val="00504D87"/>
    <w:rsid w:val="005103BF"/>
    <w:rsid w:val="00517A42"/>
    <w:rsid w:val="0052761E"/>
    <w:rsid w:val="005370DB"/>
    <w:rsid w:val="00557DA6"/>
    <w:rsid w:val="00570239"/>
    <w:rsid w:val="0057155E"/>
    <w:rsid w:val="00582D4F"/>
    <w:rsid w:val="005B7E78"/>
    <w:rsid w:val="005C23BB"/>
    <w:rsid w:val="005C3AFA"/>
    <w:rsid w:val="005C6D7A"/>
    <w:rsid w:val="005D0469"/>
    <w:rsid w:val="005D3652"/>
    <w:rsid w:val="005D77FA"/>
    <w:rsid w:val="005E432D"/>
    <w:rsid w:val="005E6400"/>
    <w:rsid w:val="005E6FB3"/>
    <w:rsid w:val="005F1587"/>
    <w:rsid w:val="005F21E7"/>
    <w:rsid w:val="0061041B"/>
    <w:rsid w:val="00611044"/>
    <w:rsid w:val="006151CF"/>
    <w:rsid w:val="006308EB"/>
    <w:rsid w:val="00633CD7"/>
    <w:rsid w:val="00641BF9"/>
    <w:rsid w:val="00644257"/>
    <w:rsid w:val="006459C0"/>
    <w:rsid w:val="00647840"/>
    <w:rsid w:val="006673FB"/>
    <w:rsid w:val="00672F12"/>
    <w:rsid w:val="0067678A"/>
    <w:rsid w:val="0067693C"/>
    <w:rsid w:val="00682871"/>
    <w:rsid w:val="00684C53"/>
    <w:rsid w:val="00684F8C"/>
    <w:rsid w:val="00692B06"/>
    <w:rsid w:val="00693C6F"/>
    <w:rsid w:val="00694EAA"/>
    <w:rsid w:val="00696AE0"/>
    <w:rsid w:val="006B6392"/>
    <w:rsid w:val="006B754E"/>
    <w:rsid w:val="006C52F4"/>
    <w:rsid w:val="006C71F1"/>
    <w:rsid w:val="006D61F6"/>
    <w:rsid w:val="006E2564"/>
    <w:rsid w:val="006F1912"/>
    <w:rsid w:val="006F555E"/>
    <w:rsid w:val="0072575A"/>
    <w:rsid w:val="00734CC7"/>
    <w:rsid w:val="0074566C"/>
    <w:rsid w:val="0074687C"/>
    <w:rsid w:val="0077307D"/>
    <w:rsid w:val="00773A64"/>
    <w:rsid w:val="007744E2"/>
    <w:rsid w:val="00787023"/>
    <w:rsid w:val="007933F8"/>
    <w:rsid w:val="007959AE"/>
    <w:rsid w:val="007962FB"/>
    <w:rsid w:val="007A6BD0"/>
    <w:rsid w:val="007C0BDE"/>
    <w:rsid w:val="007C5913"/>
    <w:rsid w:val="007D638F"/>
    <w:rsid w:val="007D7DEF"/>
    <w:rsid w:val="007E1D2E"/>
    <w:rsid w:val="007F2CA5"/>
    <w:rsid w:val="007F687A"/>
    <w:rsid w:val="00800118"/>
    <w:rsid w:val="008039A5"/>
    <w:rsid w:val="00821F11"/>
    <w:rsid w:val="008233F2"/>
    <w:rsid w:val="00826ECD"/>
    <w:rsid w:val="00840A37"/>
    <w:rsid w:val="00852138"/>
    <w:rsid w:val="008534A3"/>
    <w:rsid w:val="00862A88"/>
    <w:rsid w:val="008828AF"/>
    <w:rsid w:val="00882A09"/>
    <w:rsid w:val="008878DA"/>
    <w:rsid w:val="00890455"/>
    <w:rsid w:val="008919C6"/>
    <w:rsid w:val="00893CE9"/>
    <w:rsid w:val="008942DF"/>
    <w:rsid w:val="008A154C"/>
    <w:rsid w:val="008A1A84"/>
    <w:rsid w:val="008B1FCE"/>
    <w:rsid w:val="008C600B"/>
    <w:rsid w:val="008D3874"/>
    <w:rsid w:val="008D66EC"/>
    <w:rsid w:val="008D6842"/>
    <w:rsid w:val="008E26CB"/>
    <w:rsid w:val="008E5B3F"/>
    <w:rsid w:val="008E6D89"/>
    <w:rsid w:val="008F4760"/>
    <w:rsid w:val="008F5DB8"/>
    <w:rsid w:val="00902910"/>
    <w:rsid w:val="009161FD"/>
    <w:rsid w:val="009206AF"/>
    <w:rsid w:val="00920AE2"/>
    <w:rsid w:val="00920E38"/>
    <w:rsid w:val="009229D0"/>
    <w:rsid w:val="009329F9"/>
    <w:rsid w:val="00933F47"/>
    <w:rsid w:val="00937CCC"/>
    <w:rsid w:val="009602B1"/>
    <w:rsid w:val="009805FA"/>
    <w:rsid w:val="0098089C"/>
    <w:rsid w:val="00987073"/>
    <w:rsid w:val="00995E23"/>
    <w:rsid w:val="009A1D4A"/>
    <w:rsid w:val="009A58CC"/>
    <w:rsid w:val="009A5E9A"/>
    <w:rsid w:val="009B3028"/>
    <w:rsid w:val="009D2621"/>
    <w:rsid w:val="009D4D1C"/>
    <w:rsid w:val="009E5C27"/>
    <w:rsid w:val="009E74B7"/>
    <w:rsid w:val="00A010B4"/>
    <w:rsid w:val="00A039A5"/>
    <w:rsid w:val="00A04686"/>
    <w:rsid w:val="00A218CA"/>
    <w:rsid w:val="00A21CB9"/>
    <w:rsid w:val="00A21CEE"/>
    <w:rsid w:val="00A313D8"/>
    <w:rsid w:val="00A32179"/>
    <w:rsid w:val="00A354BA"/>
    <w:rsid w:val="00A35E9A"/>
    <w:rsid w:val="00A40F86"/>
    <w:rsid w:val="00A412C7"/>
    <w:rsid w:val="00A52480"/>
    <w:rsid w:val="00A537E9"/>
    <w:rsid w:val="00A74BA4"/>
    <w:rsid w:val="00A86727"/>
    <w:rsid w:val="00AA7822"/>
    <w:rsid w:val="00AB1A3E"/>
    <w:rsid w:val="00AB738B"/>
    <w:rsid w:val="00AC0198"/>
    <w:rsid w:val="00AC2EA4"/>
    <w:rsid w:val="00AC3240"/>
    <w:rsid w:val="00AC4D83"/>
    <w:rsid w:val="00AC5C98"/>
    <w:rsid w:val="00AC6615"/>
    <w:rsid w:val="00AC780C"/>
    <w:rsid w:val="00AD474F"/>
    <w:rsid w:val="00AD57C5"/>
    <w:rsid w:val="00AE1F3E"/>
    <w:rsid w:val="00AE5EA2"/>
    <w:rsid w:val="00AE7039"/>
    <w:rsid w:val="00AF3E0D"/>
    <w:rsid w:val="00AF6555"/>
    <w:rsid w:val="00AF6C66"/>
    <w:rsid w:val="00AF7A1A"/>
    <w:rsid w:val="00B01001"/>
    <w:rsid w:val="00B022E4"/>
    <w:rsid w:val="00B1227E"/>
    <w:rsid w:val="00B14628"/>
    <w:rsid w:val="00B23C3B"/>
    <w:rsid w:val="00B302CB"/>
    <w:rsid w:val="00B30917"/>
    <w:rsid w:val="00B36BA1"/>
    <w:rsid w:val="00B46C38"/>
    <w:rsid w:val="00B47409"/>
    <w:rsid w:val="00B535C6"/>
    <w:rsid w:val="00B64662"/>
    <w:rsid w:val="00B67DB1"/>
    <w:rsid w:val="00B84682"/>
    <w:rsid w:val="00B901BB"/>
    <w:rsid w:val="00B91288"/>
    <w:rsid w:val="00B9423B"/>
    <w:rsid w:val="00BA1C0A"/>
    <w:rsid w:val="00BA1C8D"/>
    <w:rsid w:val="00BA26F9"/>
    <w:rsid w:val="00BA67BF"/>
    <w:rsid w:val="00BB3B27"/>
    <w:rsid w:val="00BB4D93"/>
    <w:rsid w:val="00BD0123"/>
    <w:rsid w:val="00BD53BC"/>
    <w:rsid w:val="00BD5F42"/>
    <w:rsid w:val="00BE704D"/>
    <w:rsid w:val="00BF1131"/>
    <w:rsid w:val="00C057D6"/>
    <w:rsid w:val="00C16C75"/>
    <w:rsid w:val="00C2320F"/>
    <w:rsid w:val="00C25310"/>
    <w:rsid w:val="00C27FA3"/>
    <w:rsid w:val="00C3354A"/>
    <w:rsid w:val="00C34ADF"/>
    <w:rsid w:val="00C350BF"/>
    <w:rsid w:val="00C46646"/>
    <w:rsid w:val="00C6616C"/>
    <w:rsid w:val="00C75CCF"/>
    <w:rsid w:val="00C77207"/>
    <w:rsid w:val="00C81867"/>
    <w:rsid w:val="00C86F43"/>
    <w:rsid w:val="00C922DF"/>
    <w:rsid w:val="00C953DA"/>
    <w:rsid w:val="00C955A8"/>
    <w:rsid w:val="00CA4351"/>
    <w:rsid w:val="00CB45FE"/>
    <w:rsid w:val="00CC3891"/>
    <w:rsid w:val="00CC3E9D"/>
    <w:rsid w:val="00CC6673"/>
    <w:rsid w:val="00CD1E88"/>
    <w:rsid w:val="00CD2BEE"/>
    <w:rsid w:val="00CD3788"/>
    <w:rsid w:val="00CD3B2E"/>
    <w:rsid w:val="00CF5A2A"/>
    <w:rsid w:val="00D12C51"/>
    <w:rsid w:val="00D163EB"/>
    <w:rsid w:val="00D20770"/>
    <w:rsid w:val="00D259EA"/>
    <w:rsid w:val="00D27140"/>
    <w:rsid w:val="00D31C2C"/>
    <w:rsid w:val="00D43049"/>
    <w:rsid w:val="00D43304"/>
    <w:rsid w:val="00D4411D"/>
    <w:rsid w:val="00D517D1"/>
    <w:rsid w:val="00D55E61"/>
    <w:rsid w:val="00D574EE"/>
    <w:rsid w:val="00D774CC"/>
    <w:rsid w:val="00DA1338"/>
    <w:rsid w:val="00DB30C2"/>
    <w:rsid w:val="00DC0673"/>
    <w:rsid w:val="00DC1584"/>
    <w:rsid w:val="00DD6EC8"/>
    <w:rsid w:val="00DE48ED"/>
    <w:rsid w:val="00DE5918"/>
    <w:rsid w:val="00DE7E8F"/>
    <w:rsid w:val="00DF1FE6"/>
    <w:rsid w:val="00DF5BB0"/>
    <w:rsid w:val="00E0220C"/>
    <w:rsid w:val="00E14874"/>
    <w:rsid w:val="00E16709"/>
    <w:rsid w:val="00E26FE0"/>
    <w:rsid w:val="00E27DCD"/>
    <w:rsid w:val="00E3529B"/>
    <w:rsid w:val="00E3715B"/>
    <w:rsid w:val="00E473DA"/>
    <w:rsid w:val="00E55112"/>
    <w:rsid w:val="00E60932"/>
    <w:rsid w:val="00E72698"/>
    <w:rsid w:val="00E75B82"/>
    <w:rsid w:val="00E769BC"/>
    <w:rsid w:val="00E810DD"/>
    <w:rsid w:val="00E848FA"/>
    <w:rsid w:val="00E84D69"/>
    <w:rsid w:val="00E85C70"/>
    <w:rsid w:val="00E95D18"/>
    <w:rsid w:val="00E96848"/>
    <w:rsid w:val="00EA1A2A"/>
    <w:rsid w:val="00EB4B5F"/>
    <w:rsid w:val="00EC5C7F"/>
    <w:rsid w:val="00EC65EE"/>
    <w:rsid w:val="00EC664D"/>
    <w:rsid w:val="00ED197D"/>
    <w:rsid w:val="00EE0091"/>
    <w:rsid w:val="00EE1BC5"/>
    <w:rsid w:val="00EE1BDB"/>
    <w:rsid w:val="00EE509E"/>
    <w:rsid w:val="00EE5FA9"/>
    <w:rsid w:val="00F13DAD"/>
    <w:rsid w:val="00F171CD"/>
    <w:rsid w:val="00F23A4A"/>
    <w:rsid w:val="00F23EBD"/>
    <w:rsid w:val="00F23FC9"/>
    <w:rsid w:val="00F34BE2"/>
    <w:rsid w:val="00F4634A"/>
    <w:rsid w:val="00F46873"/>
    <w:rsid w:val="00F51FF1"/>
    <w:rsid w:val="00F574C3"/>
    <w:rsid w:val="00F57E2E"/>
    <w:rsid w:val="00F61D70"/>
    <w:rsid w:val="00F62C2B"/>
    <w:rsid w:val="00F70D7E"/>
    <w:rsid w:val="00F75510"/>
    <w:rsid w:val="00F84223"/>
    <w:rsid w:val="00F84BDD"/>
    <w:rsid w:val="00F84C50"/>
    <w:rsid w:val="00F862A3"/>
    <w:rsid w:val="00F95073"/>
    <w:rsid w:val="00FA1131"/>
    <w:rsid w:val="00FA1A04"/>
    <w:rsid w:val="00FB177E"/>
    <w:rsid w:val="00FD6710"/>
    <w:rsid w:val="00FE302A"/>
    <w:rsid w:val="00FE62BA"/>
    <w:rsid w:val="00FF59CF"/>
    <w:rsid w:val="00FF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FCC3"/>
  <w15:chartTrackingRefBased/>
  <w15:docId w15:val="{DC34EDB8-BEE0-4487-8F09-E11811D4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BA"/>
    <w:pPr>
      <w:spacing w:before="120" w:after="120"/>
    </w:pPr>
  </w:style>
  <w:style w:type="paragraph" w:styleId="Titre1">
    <w:name w:val="heading 1"/>
    <w:basedOn w:val="Normal"/>
    <w:next w:val="Normal"/>
    <w:link w:val="Titre1Car"/>
    <w:uiPriority w:val="9"/>
    <w:qFormat/>
    <w:rsid w:val="00122EBA"/>
    <w:pPr>
      <w:keepNext/>
      <w:keepLines/>
      <w:spacing w:before="360" w:after="80"/>
      <w:outlineLvl w:val="0"/>
    </w:pPr>
    <w:rPr>
      <w:rFonts w:asciiTheme="majorHAnsi" w:eastAsiaTheme="majorEastAsia" w:hAnsiTheme="majorHAnsi" w:cstheme="majorBidi"/>
      <w:color w:val="003481" w:themeColor="accent2" w:themeShade="BF"/>
      <w:sz w:val="32"/>
      <w:szCs w:val="40"/>
    </w:rPr>
  </w:style>
  <w:style w:type="paragraph" w:styleId="Titre2">
    <w:name w:val="heading 2"/>
    <w:basedOn w:val="Normal"/>
    <w:next w:val="Normal"/>
    <w:link w:val="Titre2Car"/>
    <w:uiPriority w:val="9"/>
    <w:unhideWhenUsed/>
    <w:qFormat/>
    <w:rsid w:val="00122EBA"/>
    <w:pPr>
      <w:keepNext/>
      <w:keepLines/>
      <w:spacing w:before="40" w:after="0"/>
      <w:outlineLvl w:val="1"/>
    </w:pPr>
    <w:rPr>
      <w:rFonts w:asciiTheme="majorHAnsi" w:eastAsiaTheme="majorEastAsia" w:hAnsiTheme="majorHAnsi" w:cstheme="majorBidi"/>
      <w:color w:val="003481" w:themeColor="accent2" w:themeShade="BF"/>
      <w:sz w:val="28"/>
      <w:szCs w:val="26"/>
    </w:rPr>
  </w:style>
  <w:style w:type="paragraph" w:styleId="Titre3">
    <w:name w:val="heading 3"/>
    <w:basedOn w:val="Normal"/>
    <w:next w:val="Normal"/>
    <w:link w:val="Titre3Car"/>
    <w:uiPriority w:val="9"/>
    <w:unhideWhenUsed/>
    <w:qFormat/>
    <w:rsid w:val="00122EBA"/>
    <w:pPr>
      <w:keepNext/>
      <w:keepLines/>
      <w:spacing w:before="160" w:after="80"/>
      <w:outlineLvl w:val="2"/>
    </w:pPr>
    <w:rPr>
      <w:rFonts w:eastAsiaTheme="majorEastAsia" w:cstheme="majorBidi"/>
      <w:color w:val="003481" w:themeColor="accent2" w:themeShade="BF"/>
      <w:sz w:val="24"/>
      <w:szCs w:val="28"/>
    </w:rPr>
  </w:style>
  <w:style w:type="paragraph" w:styleId="Titre4">
    <w:name w:val="heading 4"/>
    <w:basedOn w:val="Normal"/>
    <w:next w:val="Normal"/>
    <w:link w:val="Titre4Car"/>
    <w:uiPriority w:val="9"/>
    <w:unhideWhenUsed/>
    <w:qFormat/>
    <w:rsid w:val="00122EBA"/>
    <w:pPr>
      <w:keepNext/>
      <w:keepLines/>
      <w:spacing w:before="80" w:after="40"/>
      <w:outlineLvl w:val="3"/>
    </w:pPr>
    <w:rPr>
      <w:rFonts w:eastAsiaTheme="majorEastAsia" w:cstheme="majorBidi"/>
      <w:iCs/>
      <w:color w:val="003481" w:themeColor="accent2" w:themeShade="BF"/>
      <w:sz w:val="20"/>
    </w:rPr>
  </w:style>
  <w:style w:type="paragraph" w:styleId="Titre5">
    <w:name w:val="heading 5"/>
    <w:basedOn w:val="Normal"/>
    <w:next w:val="Normal"/>
    <w:link w:val="Titre5Car"/>
    <w:uiPriority w:val="9"/>
    <w:semiHidden/>
    <w:unhideWhenUsed/>
    <w:qFormat/>
    <w:rsid w:val="00F62C2B"/>
    <w:pPr>
      <w:keepNext/>
      <w:keepLines/>
      <w:spacing w:before="80" w:after="40"/>
      <w:outlineLvl w:val="4"/>
    </w:pPr>
    <w:rPr>
      <w:rFonts w:eastAsiaTheme="majorEastAsia" w:cstheme="majorBidi"/>
      <w:color w:val="081B2C" w:themeColor="accent1" w:themeShade="BF"/>
    </w:rPr>
  </w:style>
  <w:style w:type="paragraph" w:styleId="Titre6">
    <w:name w:val="heading 6"/>
    <w:basedOn w:val="Normal"/>
    <w:next w:val="Normal"/>
    <w:link w:val="Titre6Car"/>
    <w:uiPriority w:val="9"/>
    <w:semiHidden/>
    <w:unhideWhenUsed/>
    <w:qFormat/>
    <w:rsid w:val="00F62C2B"/>
    <w:pPr>
      <w:keepNext/>
      <w:keepLines/>
      <w:spacing w:before="40" w:after="0"/>
      <w:outlineLvl w:val="5"/>
    </w:pPr>
    <w:rPr>
      <w:rFonts w:eastAsiaTheme="majorEastAsia" w:cstheme="majorBidi"/>
      <w:i/>
      <w:iCs/>
      <w:color w:val="4FFDC8" w:themeColor="text1" w:themeTint="A6"/>
    </w:rPr>
  </w:style>
  <w:style w:type="paragraph" w:styleId="Titre7">
    <w:name w:val="heading 7"/>
    <w:basedOn w:val="Normal"/>
    <w:next w:val="Normal"/>
    <w:link w:val="Titre7Car"/>
    <w:uiPriority w:val="9"/>
    <w:semiHidden/>
    <w:unhideWhenUsed/>
    <w:qFormat/>
    <w:rsid w:val="00F62C2B"/>
    <w:pPr>
      <w:keepNext/>
      <w:keepLines/>
      <w:spacing w:before="40" w:after="0"/>
      <w:outlineLvl w:val="6"/>
    </w:pPr>
    <w:rPr>
      <w:rFonts w:eastAsiaTheme="majorEastAsia" w:cstheme="majorBidi"/>
      <w:color w:val="4FFDC8" w:themeColor="text1" w:themeTint="A6"/>
    </w:rPr>
  </w:style>
  <w:style w:type="paragraph" w:styleId="Titre8">
    <w:name w:val="heading 8"/>
    <w:basedOn w:val="Normal"/>
    <w:next w:val="Normal"/>
    <w:link w:val="Titre8Car"/>
    <w:uiPriority w:val="9"/>
    <w:semiHidden/>
    <w:unhideWhenUsed/>
    <w:qFormat/>
    <w:rsid w:val="00F62C2B"/>
    <w:pPr>
      <w:keepNext/>
      <w:keepLines/>
      <w:spacing w:after="0"/>
      <w:outlineLvl w:val="7"/>
    </w:pPr>
    <w:rPr>
      <w:rFonts w:eastAsiaTheme="majorEastAsia" w:cstheme="majorBidi"/>
      <w:i/>
      <w:iCs/>
      <w:color w:val="1AFDB8" w:themeColor="text1" w:themeTint="D8"/>
    </w:rPr>
  </w:style>
  <w:style w:type="paragraph" w:styleId="Titre9">
    <w:name w:val="heading 9"/>
    <w:basedOn w:val="Normal"/>
    <w:next w:val="Normal"/>
    <w:link w:val="Titre9Car"/>
    <w:uiPriority w:val="9"/>
    <w:semiHidden/>
    <w:unhideWhenUsed/>
    <w:qFormat/>
    <w:rsid w:val="00F62C2B"/>
    <w:pPr>
      <w:keepNext/>
      <w:keepLines/>
      <w:spacing w:after="0"/>
      <w:outlineLvl w:val="8"/>
    </w:pPr>
    <w:rPr>
      <w:rFonts w:eastAsiaTheme="majorEastAsia" w:cstheme="majorBidi"/>
      <w:color w:val="1AFDB8"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22EBA"/>
    <w:rPr>
      <w:rFonts w:asciiTheme="majorHAnsi" w:eastAsiaTheme="majorEastAsia" w:hAnsiTheme="majorHAnsi" w:cstheme="majorBidi"/>
      <w:color w:val="003481" w:themeColor="accent2" w:themeShade="BF"/>
      <w:sz w:val="28"/>
      <w:szCs w:val="26"/>
    </w:rPr>
  </w:style>
  <w:style w:type="character" w:customStyle="1" w:styleId="Titre1Car">
    <w:name w:val="Titre 1 Car"/>
    <w:basedOn w:val="Policepardfaut"/>
    <w:link w:val="Titre1"/>
    <w:uiPriority w:val="9"/>
    <w:rsid w:val="00122EBA"/>
    <w:rPr>
      <w:rFonts w:asciiTheme="majorHAnsi" w:eastAsiaTheme="majorEastAsia" w:hAnsiTheme="majorHAnsi" w:cstheme="majorBidi"/>
      <w:color w:val="003481" w:themeColor="accent2" w:themeShade="BF"/>
      <w:sz w:val="32"/>
      <w:szCs w:val="40"/>
    </w:rPr>
  </w:style>
  <w:style w:type="character" w:customStyle="1" w:styleId="Titre3Car">
    <w:name w:val="Titre 3 Car"/>
    <w:basedOn w:val="Policepardfaut"/>
    <w:link w:val="Titre3"/>
    <w:uiPriority w:val="9"/>
    <w:rsid w:val="00122EBA"/>
    <w:rPr>
      <w:rFonts w:eastAsiaTheme="majorEastAsia" w:cstheme="majorBidi"/>
      <w:color w:val="003481" w:themeColor="accent2" w:themeShade="BF"/>
      <w:sz w:val="24"/>
      <w:szCs w:val="28"/>
    </w:rPr>
  </w:style>
  <w:style w:type="character" w:customStyle="1" w:styleId="Titre4Car">
    <w:name w:val="Titre 4 Car"/>
    <w:basedOn w:val="Policepardfaut"/>
    <w:link w:val="Titre4"/>
    <w:uiPriority w:val="9"/>
    <w:rsid w:val="00122EBA"/>
    <w:rPr>
      <w:rFonts w:eastAsiaTheme="majorEastAsia" w:cstheme="majorBidi"/>
      <w:iCs/>
      <w:color w:val="003481" w:themeColor="accent2" w:themeShade="BF"/>
      <w:sz w:val="20"/>
    </w:rPr>
  </w:style>
  <w:style w:type="character" w:customStyle="1" w:styleId="Titre5Car">
    <w:name w:val="Titre 5 Car"/>
    <w:basedOn w:val="Policepardfaut"/>
    <w:link w:val="Titre5"/>
    <w:uiPriority w:val="9"/>
    <w:semiHidden/>
    <w:rsid w:val="00F62C2B"/>
    <w:rPr>
      <w:rFonts w:eastAsiaTheme="majorEastAsia" w:cstheme="majorBidi"/>
      <w:color w:val="081B2C" w:themeColor="accent1" w:themeShade="BF"/>
    </w:rPr>
  </w:style>
  <w:style w:type="character" w:customStyle="1" w:styleId="Titre6Car">
    <w:name w:val="Titre 6 Car"/>
    <w:basedOn w:val="Policepardfaut"/>
    <w:link w:val="Titre6"/>
    <w:uiPriority w:val="9"/>
    <w:semiHidden/>
    <w:rsid w:val="00F62C2B"/>
    <w:rPr>
      <w:rFonts w:eastAsiaTheme="majorEastAsia" w:cstheme="majorBidi"/>
      <w:i/>
      <w:iCs/>
      <w:color w:val="4FFDC8" w:themeColor="text1" w:themeTint="A6"/>
    </w:rPr>
  </w:style>
  <w:style w:type="character" w:customStyle="1" w:styleId="Titre7Car">
    <w:name w:val="Titre 7 Car"/>
    <w:basedOn w:val="Policepardfaut"/>
    <w:link w:val="Titre7"/>
    <w:uiPriority w:val="9"/>
    <w:semiHidden/>
    <w:rsid w:val="00F62C2B"/>
    <w:rPr>
      <w:rFonts w:eastAsiaTheme="majorEastAsia" w:cstheme="majorBidi"/>
      <w:color w:val="4FFDC8" w:themeColor="text1" w:themeTint="A6"/>
    </w:rPr>
  </w:style>
  <w:style w:type="character" w:customStyle="1" w:styleId="Titre8Car">
    <w:name w:val="Titre 8 Car"/>
    <w:basedOn w:val="Policepardfaut"/>
    <w:link w:val="Titre8"/>
    <w:uiPriority w:val="9"/>
    <w:semiHidden/>
    <w:rsid w:val="00F62C2B"/>
    <w:rPr>
      <w:rFonts w:eastAsiaTheme="majorEastAsia" w:cstheme="majorBidi"/>
      <w:i/>
      <w:iCs/>
      <w:color w:val="1AFDB8" w:themeColor="text1" w:themeTint="D8"/>
    </w:rPr>
  </w:style>
  <w:style w:type="character" w:customStyle="1" w:styleId="Titre9Car">
    <w:name w:val="Titre 9 Car"/>
    <w:basedOn w:val="Policepardfaut"/>
    <w:link w:val="Titre9"/>
    <w:uiPriority w:val="9"/>
    <w:semiHidden/>
    <w:rsid w:val="00F62C2B"/>
    <w:rPr>
      <w:rFonts w:eastAsiaTheme="majorEastAsia" w:cstheme="majorBidi"/>
      <w:color w:val="1AFDB8" w:themeColor="text1" w:themeTint="D8"/>
    </w:rPr>
  </w:style>
  <w:style w:type="paragraph" w:styleId="Titre">
    <w:name w:val="Title"/>
    <w:basedOn w:val="Normal"/>
    <w:next w:val="Normal"/>
    <w:link w:val="TitreCar"/>
    <w:uiPriority w:val="10"/>
    <w:qFormat/>
    <w:rsid w:val="00F6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2C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2C2B"/>
    <w:pPr>
      <w:numPr>
        <w:ilvl w:val="1"/>
      </w:numPr>
    </w:pPr>
    <w:rPr>
      <w:rFonts w:eastAsiaTheme="majorEastAsia" w:cstheme="majorBidi"/>
      <w:color w:val="4FFDC8" w:themeColor="text1" w:themeTint="A6"/>
      <w:spacing w:val="15"/>
      <w:sz w:val="28"/>
      <w:szCs w:val="28"/>
    </w:rPr>
  </w:style>
  <w:style w:type="character" w:customStyle="1" w:styleId="Sous-titreCar">
    <w:name w:val="Sous-titre Car"/>
    <w:basedOn w:val="Policepardfaut"/>
    <w:link w:val="Sous-titre"/>
    <w:uiPriority w:val="11"/>
    <w:rsid w:val="00F62C2B"/>
    <w:rPr>
      <w:rFonts w:eastAsiaTheme="majorEastAsia" w:cstheme="majorBidi"/>
      <w:color w:val="4FFDC8" w:themeColor="text1" w:themeTint="A6"/>
      <w:spacing w:val="15"/>
      <w:sz w:val="28"/>
      <w:szCs w:val="28"/>
    </w:rPr>
  </w:style>
  <w:style w:type="paragraph" w:styleId="Citation">
    <w:name w:val="Quote"/>
    <w:basedOn w:val="Normal"/>
    <w:next w:val="Normal"/>
    <w:link w:val="CitationCar"/>
    <w:uiPriority w:val="29"/>
    <w:qFormat/>
    <w:rsid w:val="00F62C2B"/>
    <w:pPr>
      <w:spacing w:before="160"/>
      <w:jc w:val="center"/>
    </w:pPr>
    <w:rPr>
      <w:i/>
      <w:iCs/>
      <w:color w:val="34FDC0" w:themeColor="text1" w:themeTint="BF"/>
    </w:rPr>
  </w:style>
  <w:style w:type="character" w:customStyle="1" w:styleId="CitationCar">
    <w:name w:val="Citation Car"/>
    <w:basedOn w:val="Policepardfaut"/>
    <w:link w:val="Citation"/>
    <w:uiPriority w:val="29"/>
    <w:rsid w:val="00F62C2B"/>
    <w:rPr>
      <w:i/>
      <w:iCs/>
      <w:color w:val="34FDC0" w:themeColor="text1" w:themeTint="BF"/>
    </w:rPr>
  </w:style>
  <w:style w:type="paragraph" w:styleId="Paragraphedeliste">
    <w:name w:val="List Paragraph"/>
    <w:basedOn w:val="Normal"/>
    <w:uiPriority w:val="34"/>
    <w:qFormat/>
    <w:rsid w:val="00F62C2B"/>
    <w:pPr>
      <w:ind w:left="720"/>
      <w:contextualSpacing/>
    </w:pPr>
  </w:style>
  <w:style w:type="character" w:styleId="Accentuationintense">
    <w:name w:val="Intense Emphasis"/>
    <w:basedOn w:val="Policepardfaut"/>
    <w:uiPriority w:val="21"/>
    <w:qFormat/>
    <w:rsid w:val="00F62C2B"/>
    <w:rPr>
      <w:i/>
      <w:iCs/>
      <w:color w:val="081B2C" w:themeColor="accent1" w:themeShade="BF"/>
    </w:rPr>
  </w:style>
  <w:style w:type="paragraph" w:styleId="Citationintense">
    <w:name w:val="Intense Quote"/>
    <w:basedOn w:val="Normal"/>
    <w:next w:val="Normal"/>
    <w:link w:val="CitationintenseCar"/>
    <w:uiPriority w:val="30"/>
    <w:qFormat/>
    <w:rsid w:val="00F62C2B"/>
    <w:pPr>
      <w:pBdr>
        <w:top w:val="single" w:sz="4" w:space="10" w:color="081B2C" w:themeColor="accent1" w:themeShade="BF"/>
        <w:bottom w:val="single" w:sz="4" w:space="10" w:color="081B2C" w:themeColor="accent1" w:themeShade="BF"/>
      </w:pBdr>
      <w:spacing w:before="360" w:after="360"/>
      <w:ind w:left="864" w:right="864"/>
      <w:jc w:val="center"/>
    </w:pPr>
    <w:rPr>
      <w:i/>
      <w:iCs/>
      <w:color w:val="081B2C" w:themeColor="accent1" w:themeShade="BF"/>
    </w:rPr>
  </w:style>
  <w:style w:type="character" w:customStyle="1" w:styleId="CitationintenseCar">
    <w:name w:val="Citation intense Car"/>
    <w:basedOn w:val="Policepardfaut"/>
    <w:link w:val="Citationintense"/>
    <w:uiPriority w:val="30"/>
    <w:rsid w:val="00F62C2B"/>
    <w:rPr>
      <w:i/>
      <w:iCs/>
      <w:color w:val="081B2C" w:themeColor="accent1" w:themeShade="BF"/>
    </w:rPr>
  </w:style>
  <w:style w:type="character" w:styleId="Rfrenceintense">
    <w:name w:val="Intense Reference"/>
    <w:basedOn w:val="Policepardfaut"/>
    <w:uiPriority w:val="32"/>
    <w:qFormat/>
    <w:rsid w:val="00F62C2B"/>
    <w:rPr>
      <w:b/>
      <w:bCs/>
      <w:smallCaps/>
      <w:color w:val="081B2C" w:themeColor="accent1" w:themeShade="BF"/>
      <w:spacing w:val="5"/>
    </w:rPr>
  </w:style>
  <w:style w:type="table" w:styleId="Grilledutableau">
    <w:name w:val="Table Grid"/>
    <w:basedOn w:val="TableauNormal"/>
    <w:uiPriority w:val="39"/>
    <w:rsid w:val="00DF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E26CB"/>
    <w:rPr>
      <w:color w:val="000000" w:themeColor="hyperlink"/>
      <w:u w:val="single"/>
    </w:rPr>
  </w:style>
  <w:style w:type="character" w:styleId="Mentionnonrsolue">
    <w:name w:val="Unresolved Mention"/>
    <w:basedOn w:val="Policepardfaut"/>
    <w:uiPriority w:val="99"/>
    <w:semiHidden/>
    <w:unhideWhenUsed/>
    <w:rsid w:val="008E26CB"/>
    <w:rPr>
      <w:color w:val="605E5C"/>
      <w:shd w:val="clear" w:color="auto" w:fill="E1DFDD"/>
    </w:rPr>
  </w:style>
  <w:style w:type="table" w:styleId="TableauGrille1Clair-Accentuation1">
    <w:name w:val="Grid Table 1 Light Accent 1"/>
    <w:basedOn w:val="TableauNormal"/>
    <w:uiPriority w:val="46"/>
    <w:rsid w:val="009E74B7"/>
    <w:pPr>
      <w:spacing w:after="0" w:line="240" w:lineRule="auto"/>
    </w:pPr>
    <w:tblPr>
      <w:tblStyleRowBandSize w:val="1"/>
      <w:tblStyleColBandSize w:val="1"/>
      <w:tblBorders>
        <w:top w:val="single" w:sz="4" w:space="0" w:color="6AABE3" w:themeColor="accent1" w:themeTint="66"/>
        <w:left w:val="single" w:sz="4" w:space="0" w:color="6AABE3" w:themeColor="accent1" w:themeTint="66"/>
        <w:bottom w:val="single" w:sz="4" w:space="0" w:color="6AABE3" w:themeColor="accent1" w:themeTint="66"/>
        <w:right w:val="single" w:sz="4" w:space="0" w:color="6AABE3" w:themeColor="accent1" w:themeTint="66"/>
        <w:insideH w:val="single" w:sz="4" w:space="0" w:color="6AABE3" w:themeColor="accent1" w:themeTint="66"/>
        <w:insideV w:val="single" w:sz="4" w:space="0" w:color="6AABE3" w:themeColor="accent1" w:themeTint="66"/>
      </w:tblBorders>
    </w:tblPr>
    <w:tblStylePr w:type="firstRow">
      <w:rPr>
        <w:b/>
        <w:bCs/>
      </w:rPr>
      <w:tblPr/>
      <w:tcPr>
        <w:tcBorders>
          <w:bottom w:val="single" w:sz="12" w:space="0" w:color="2681CF" w:themeColor="accent1" w:themeTint="99"/>
        </w:tcBorders>
      </w:tcPr>
    </w:tblStylePr>
    <w:tblStylePr w:type="lastRow">
      <w:rPr>
        <w:b/>
        <w:bCs/>
      </w:rPr>
      <w:tblPr/>
      <w:tcPr>
        <w:tcBorders>
          <w:top w:val="double" w:sz="2" w:space="0" w:color="2681C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B535C6"/>
    <w:pPr>
      <w:spacing w:after="0" w:line="240" w:lineRule="auto"/>
    </w:pPr>
    <w:tblPr>
      <w:tblStyleRowBandSize w:val="1"/>
      <w:tblStyleColBandSize w:val="1"/>
      <w:tblBorders>
        <w:top w:val="single" w:sz="4" w:space="0" w:color="85C8FF" w:themeColor="accent3" w:themeTint="66"/>
        <w:left w:val="single" w:sz="4" w:space="0" w:color="85C8FF" w:themeColor="accent3" w:themeTint="66"/>
        <w:bottom w:val="single" w:sz="4" w:space="0" w:color="85C8FF" w:themeColor="accent3" w:themeTint="66"/>
        <w:right w:val="single" w:sz="4" w:space="0" w:color="85C8FF" w:themeColor="accent3" w:themeTint="66"/>
        <w:insideH w:val="single" w:sz="4" w:space="0" w:color="85C8FF" w:themeColor="accent3" w:themeTint="66"/>
        <w:insideV w:val="single" w:sz="4" w:space="0" w:color="85C8FF" w:themeColor="accent3" w:themeTint="66"/>
      </w:tblBorders>
    </w:tblPr>
    <w:tblStylePr w:type="firstRow">
      <w:rPr>
        <w:b/>
        <w:bCs/>
      </w:rPr>
      <w:tblPr/>
      <w:tcPr>
        <w:tcBorders>
          <w:bottom w:val="single" w:sz="12" w:space="0" w:color="48ADFF" w:themeColor="accent3" w:themeTint="99"/>
        </w:tcBorders>
      </w:tcPr>
    </w:tblStylePr>
    <w:tblStylePr w:type="lastRow">
      <w:rPr>
        <w:b/>
        <w:bCs/>
      </w:rPr>
      <w:tblPr/>
      <w:tcPr>
        <w:tcBorders>
          <w:top w:val="double" w:sz="2" w:space="0" w:color="48ADFF" w:themeColor="accent3"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156BD8"/>
    <w:pPr>
      <w:tabs>
        <w:tab w:val="center" w:pos="4536"/>
        <w:tab w:val="right" w:pos="9072"/>
      </w:tabs>
      <w:spacing w:before="0" w:after="0" w:line="240" w:lineRule="auto"/>
    </w:pPr>
  </w:style>
  <w:style w:type="character" w:customStyle="1" w:styleId="En-tteCar">
    <w:name w:val="En-tête Car"/>
    <w:basedOn w:val="Policepardfaut"/>
    <w:link w:val="En-tte"/>
    <w:uiPriority w:val="99"/>
    <w:rsid w:val="00156BD8"/>
  </w:style>
  <w:style w:type="paragraph" w:styleId="Pieddepage">
    <w:name w:val="footer"/>
    <w:basedOn w:val="Normal"/>
    <w:link w:val="PieddepageCar"/>
    <w:uiPriority w:val="99"/>
    <w:unhideWhenUsed/>
    <w:rsid w:val="00156BD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56BD8"/>
  </w:style>
  <w:style w:type="paragraph" w:styleId="Rvision">
    <w:name w:val="Revision"/>
    <w:hidden/>
    <w:uiPriority w:val="99"/>
    <w:semiHidden/>
    <w:rsid w:val="00E3715B"/>
    <w:pPr>
      <w:spacing w:after="0" w:line="240" w:lineRule="auto"/>
    </w:pPr>
  </w:style>
  <w:style w:type="character" w:styleId="Marquedecommentaire">
    <w:name w:val="annotation reference"/>
    <w:basedOn w:val="Policepardfaut"/>
    <w:uiPriority w:val="99"/>
    <w:semiHidden/>
    <w:unhideWhenUsed/>
    <w:rsid w:val="00D20770"/>
    <w:rPr>
      <w:sz w:val="16"/>
      <w:szCs w:val="16"/>
    </w:rPr>
  </w:style>
  <w:style w:type="paragraph" w:styleId="Commentaire">
    <w:name w:val="annotation text"/>
    <w:basedOn w:val="Normal"/>
    <w:link w:val="CommentaireCar"/>
    <w:uiPriority w:val="99"/>
    <w:unhideWhenUsed/>
    <w:rsid w:val="00D20770"/>
    <w:pPr>
      <w:spacing w:line="240" w:lineRule="auto"/>
    </w:pPr>
    <w:rPr>
      <w:sz w:val="20"/>
      <w:szCs w:val="20"/>
    </w:rPr>
  </w:style>
  <w:style w:type="character" w:customStyle="1" w:styleId="CommentaireCar">
    <w:name w:val="Commentaire Car"/>
    <w:basedOn w:val="Policepardfaut"/>
    <w:link w:val="Commentaire"/>
    <w:uiPriority w:val="99"/>
    <w:rsid w:val="00D20770"/>
    <w:rPr>
      <w:sz w:val="20"/>
      <w:szCs w:val="20"/>
    </w:rPr>
  </w:style>
  <w:style w:type="paragraph" w:styleId="Objetducommentaire">
    <w:name w:val="annotation subject"/>
    <w:basedOn w:val="Commentaire"/>
    <w:next w:val="Commentaire"/>
    <w:link w:val="ObjetducommentaireCar"/>
    <w:uiPriority w:val="99"/>
    <w:semiHidden/>
    <w:unhideWhenUsed/>
    <w:rsid w:val="00D20770"/>
    <w:rPr>
      <w:b/>
      <w:bCs/>
    </w:rPr>
  </w:style>
  <w:style w:type="character" w:customStyle="1" w:styleId="ObjetducommentaireCar">
    <w:name w:val="Objet du commentaire Car"/>
    <w:basedOn w:val="CommentaireCar"/>
    <w:link w:val="Objetducommentaire"/>
    <w:uiPriority w:val="99"/>
    <w:semiHidden/>
    <w:rsid w:val="00D20770"/>
    <w:rPr>
      <w:b/>
      <w:bCs/>
      <w:sz w:val="20"/>
      <w:szCs w:val="20"/>
    </w:rPr>
  </w:style>
  <w:style w:type="table" w:styleId="TableauGrille4-Accentuation1">
    <w:name w:val="Grid Table 4 Accent 1"/>
    <w:basedOn w:val="TableauNormal"/>
    <w:uiPriority w:val="49"/>
    <w:rsid w:val="00EE5FA9"/>
    <w:pPr>
      <w:spacing w:after="0" w:line="240" w:lineRule="auto"/>
    </w:pPr>
    <w:rPr>
      <w:kern w:val="0"/>
      <w:lang w:val="en-US"/>
      <w14:ligatures w14:val="none"/>
    </w:rPr>
    <w:tblPr>
      <w:tblStyleRowBandSize w:val="1"/>
      <w:tblStyleColBandSize w:val="1"/>
      <w:tblBorders>
        <w:top w:val="single" w:sz="4" w:space="0" w:color="2681CF" w:themeColor="accent1" w:themeTint="99"/>
        <w:left w:val="single" w:sz="4" w:space="0" w:color="2681CF" w:themeColor="accent1" w:themeTint="99"/>
        <w:bottom w:val="single" w:sz="4" w:space="0" w:color="2681CF" w:themeColor="accent1" w:themeTint="99"/>
        <w:right w:val="single" w:sz="4" w:space="0" w:color="2681CF" w:themeColor="accent1" w:themeTint="99"/>
        <w:insideH w:val="single" w:sz="4" w:space="0" w:color="2681CF" w:themeColor="accent1" w:themeTint="99"/>
        <w:insideV w:val="single" w:sz="4" w:space="0" w:color="2681CF" w:themeColor="accent1" w:themeTint="99"/>
      </w:tblBorders>
    </w:tblPr>
    <w:tblStylePr w:type="firstRow">
      <w:rPr>
        <w:b/>
        <w:bCs/>
        <w:color w:val="0046AD" w:themeColor="background1"/>
      </w:rPr>
      <w:tblPr/>
      <w:tcPr>
        <w:tcBorders>
          <w:top w:val="single" w:sz="4" w:space="0" w:color="0B253B" w:themeColor="accent1"/>
          <w:left w:val="single" w:sz="4" w:space="0" w:color="0B253B" w:themeColor="accent1"/>
          <w:bottom w:val="single" w:sz="4" w:space="0" w:color="0B253B" w:themeColor="accent1"/>
          <w:right w:val="single" w:sz="4" w:space="0" w:color="0B253B" w:themeColor="accent1"/>
          <w:insideH w:val="nil"/>
          <w:insideV w:val="nil"/>
        </w:tcBorders>
        <w:shd w:val="clear" w:color="auto" w:fill="0B253B" w:themeFill="accent1"/>
      </w:tcPr>
    </w:tblStylePr>
    <w:tblStylePr w:type="lastRow">
      <w:rPr>
        <w:b/>
        <w:bCs/>
      </w:rPr>
      <w:tblPr/>
      <w:tcPr>
        <w:tcBorders>
          <w:top w:val="double" w:sz="4" w:space="0" w:color="0B253B" w:themeColor="accent1"/>
        </w:tcBorders>
      </w:tcPr>
    </w:tblStylePr>
    <w:tblStylePr w:type="firstCol">
      <w:rPr>
        <w:b/>
        <w:bCs/>
      </w:rPr>
    </w:tblStylePr>
    <w:tblStylePr w:type="lastCol">
      <w:rPr>
        <w:b/>
        <w:bCs/>
      </w:rPr>
    </w:tblStylePr>
    <w:tblStylePr w:type="band1Vert">
      <w:tblPr/>
      <w:tcPr>
        <w:shd w:val="clear" w:color="auto" w:fill="B4D5F1" w:themeFill="accent1" w:themeFillTint="33"/>
      </w:tcPr>
    </w:tblStylePr>
    <w:tblStylePr w:type="band1Horz">
      <w:tblPr/>
      <w:tcPr>
        <w:shd w:val="clear" w:color="auto" w:fill="B4D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3386">
      <w:bodyDiv w:val="1"/>
      <w:marLeft w:val="0"/>
      <w:marRight w:val="0"/>
      <w:marTop w:val="0"/>
      <w:marBottom w:val="0"/>
      <w:divBdr>
        <w:top w:val="none" w:sz="0" w:space="0" w:color="auto"/>
        <w:left w:val="none" w:sz="0" w:space="0" w:color="auto"/>
        <w:bottom w:val="none" w:sz="0" w:space="0" w:color="auto"/>
        <w:right w:val="none" w:sz="0" w:space="0" w:color="auto"/>
      </w:divBdr>
    </w:div>
    <w:div w:id="310061827">
      <w:bodyDiv w:val="1"/>
      <w:marLeft w:val="0"/>
      <w:marRight w:val="0"/>
      <w:marTop w:val="0"/>
      <w:marBottom w:val="0"/>
      <w:divBdr>
        <w:top w:val="none" w:sz="0" w:space="0" w:color="auto"/>
        <w:left w:val="none" w:sz="0" w:space="0" w:color="auto"/>
        <w:bottom w:val="none" w:sz="0" w:space="0" w:color="auto"/>
        <w:right w:val="none" w:sz="0" w:space="0" w:color="auto"/>
      </w:divBdr>
    </w:div>
    <w:div w:id="15457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TUV brand">
      <a:dk1>
        <a:srgbClr val="02ECA6"/>
      </a:dk1>
      <a:lt1>
        <a:srgbClr val="0046AD"/>
      </a:lt1>
      <a:dk2>
        <a:srgbClr val="FFFFFF"/>
      </a:dk2>
      <a:lt2>
        <a:srgbClr val="000000"/>
      </a:lt2>
      <a:accent1>
        <a:srgbClr val="0B253B"/>
      </a:accent1>
      <a:accent2>
        <a:srgbClr val="0046AD"/>
      </a:accent2>
      <a:accent3>
        <a:srgbClr val="0072CE"/>
      </a:accent3>
      <a:accent4>
        <a:srgbClr val="92C1E9"/>
      </a:accent4>
      <a:accent5>
        <a:srgbClr val="02ECA6"/>
      </a:accent5>
      <a:accent6>
        <a:srgbClr val="FF774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0b9fd-eb51-47a2-9b6b-944b6f939095">
      <Terms xmlns="http://schemas.microsoft.com/office/infopath/2007/PartnerControls"/>
    </lcf76f155ced4ddcb4097134ff3c332f>
    <TaxCatchAll xmlns="ee6e5335-fea2-4460-99d3-0cc285006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BB4A2C08DCF4A9BDCC69C0F9DBDE8" ma:contentTypeVersion="15" ma:contentTypeDescription="Een nieuw document maken." ma:contentTypeScope="" ma:versionID="659b8c8c5fe058e09e13aebf38c985c9">
  <xsd:schema xmlns:xsd="http://www.w3.org/2001/XMLSchema" xmlns:xs="http://www.w3.org/2001/XMLSchema" xmlns:p="http://schemas.microsoft.com/office/2006/metadata/properties" xmlns:ns2="ee6e5335-fea2-4460-99d3-0cc285006dc3" xmlns:ns3="1310b9fd-eb51-47a2-9b6b-944b6f939095" targetNamespace="http://schemas.microsoft.com/office/2006/metadata/properties" ma:root="true" ma:fieldsID="bdf31cf5f20399120aab403f8df91d46" ns2:_="" ns3:_="">
    <xsd:import namespace="ee6e5335-fea2-4460-99d3-0cc285006dc3"/>
    <xsd:import namespace="1310b9fd-eb51-47a2-9b6b-944b6f939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e5335-fea2-4460-99d3-0cc285006d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7dd910d-54ba-455e-8c56-10965ad1b11f}" ma:internalName="TaxCatchAll" ma:showField="CatchAllData" ma:web="ee6e5335-fea2-4460-99d3-0cc285006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0b9fd-eb51-47a2-9b6b-944b6f939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c3c8c9f-f0c4-4caa-baf3-6e36a29055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FD689-AAD5-4111-A52B-928813C8A45A}">
  <ds:schemaRefs>
    <ds:schemaRef ds:uri="http://schemas.microsoft.com/office/2006/metadata/properties"/>
    <ds:schemaRef ds:uri="http://schemas.microsoft.com/office/infopath/2007/PartnerControls"/>
    <ds:schemaRef ds:uri="1310b9fd-eb51-47a2-9b6b-944b6f939095"/>
    <ds:schemaRef ds:uri="ee6e5335-fea2-4460-99d3-0cc285006dc3"/>
  </ds:schemaRefs>
</ds:datastoreItem>
</file>

<file path=customXml/itemProps2.xml><?xml version="1.0" encoding="utf-8"?>
<ds:datastoreItem xmlns:ds="http://schemas.openxmlformats.org/officeDocument/2006/customXml" ds:itemID="{F392079C-0A6D-4EBB-85CB-0B38EE51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e5335-fea2-4460-99d3-0cc285006dc3"/>
    <ds:schemaRef ds:uri="1310b9fd-eb51-47a2-9b6b-944b6f93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73707-9595-4204-AFEE-74D36EC4807A}">
  <ds:schemaRefs>
    <ds:schemaRef ds:uri="http://schemas.microsoft.com/sharepoint/v3/contenttype/forms"/>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1379</Words>
  <Characters>7590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Batchen, Ashleigh</dc:creator>
  <cp:keywords/>
  <dc:description/>
  <cp:lastModifiedBy>Françoise Schlemmer</cp:lastModifiedBy>
  <cp:revision>2</cp:revision>
  <dcterms:created xsi:type="dcterms:W3CDTF">2025-10-13T14:04:00Z</dcterms:created>
  <dcterms:modified xsi:type="dcterms:W3CDTF">2025-10-13T14:04:00Z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0x01010029BBB4A2C08DCF4A9BDCC69C0F9DBDE8</vt:lpwstr>
  </property>
  <property fmtid="{D5CDD505-2E9C-101B-9397-08002B2CF9AE}" pid="3" name="MSIP_Label_d3d538fd-7cd2-4b8b-bd42-f6ee8cc1e568_Enabled">
    <vt:lpwstr>true</vt:lpwstr>
  </property>
  <property fmtid="{D5CDD505-2E9C-101B-9397-08002B2CF9AE}" pid="4" name="MSIP_Label_d3d538fd-7cd2-4b8b-bd42-f6ee8cc1e568_SetDate">
    <vt:lpwstr>2025-10-13T13:08:40Z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61acb773-bab8-43e0-9c90-71a6d396121a</vt:lpwstr>
  </property>
  <property fmtid="{D5CDD505-2E9C-101B-9397-08002B2CF9AE}" pid="9" name="MSIP_Label_d3d538fd-7cd2-4b8b-bd42-f6ee8cc1e568_ContentBits">
    <vt:lpwstr>0</vt:lpwstr>
  </property>
  <property fmtid="{D5CDD505-2E9C-101B-9397-08002B2CF9AE}" pid="10" name="MSIP_Label_d3d538fd-7cd2-4b8b-bd42-f6ee8cc1e568_Tag">
    <vt:lpwstr>10, 3, 0, 1</vt:lpwstr>
  </property>
</Properties>
</file>