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5ED8A" w14:textId="665AE7FB" w:rsidR="004359E1" w:rsidRDefault="00800118" w:rsidP="00F46873">
      <w:pPr>
        <w:pStyle w:val="Titre1"/>
        <w:spacing w:before="0" w:after="0"/>
      </w:pPr>
      <w:r>
        <w:t>Executive summary</w:t>
      </w:r>
    </w:p>
    <w:p w14:paraId="07BB458E" w14:textId="48EBA718" w:rsidR="00373CDC" w:rsidRDefault="00295099" w:rsidP="00373CDC">
      <w:r>
        <w:t>Notified bod</w:t>
      </w:r>
      <w:r w:rsidR="00633CD7">
        <w:t xml:space="preserve">ies (Team-NB and non-Team-NB </w:t>
      </w:r>
      <w:r w:rsidR="002772EC">
        <w:t>members)</w:t>
      </w:r>
      <w:r>
        <w:t xml:space="preserve"> have worked </w:t>
      </w:r>
      <w:r w:rsidR="00611044">
        <w:t xml:space="preserve">together </w:t>
      </w:r>
      <w:r w:rsidR="002772EC">
        <w:t xml:space="preserve">since early summer 2025 </w:t>
      </w:r>
      <w:r w:rsidR="00611044">
        <w:t xml:space="preserve">to develop this proposal, outlining views </w:t>
      </w:r>
      <w:r w:rsidR="001F74E5">
        <w:t xml:space="preserve">on some of the most crucial topics. </w:t>
      </w:r>
      <w:r w:rsidR="00373CDC">
        <w:t xml:space="preserve">Six task forces were established covering: </w:t>
      </w:r>
    </w:p>
    <w:p w14:paraId="2A3CDE72" w14:textId="734D1F4C" w:rsidR="00373CDC" w:rsidRDefault="00373CDC" w:rsidP="00373CDC">
      <w:pPr>
        <w:pStyle w:val="Paragraphedeliste"/>
        <w:numPr>
          <w:ilvl w:val="0"/>
          <w:numId w:val="78"/>
        </w:numPr>
      </w:pPr>
      <w:r>
        <w:t>Early dialogue</w:t>
      </w:r>
    </w:p>
    <w:p w14:paraId="6F323FD6" w14:textId="7FB0A27D" w:rsidR="00373CDC" w:rsidRDefault="00373CDC" w:rsidP="00373CDC">
      <w:pPr>
        <w:pStyle w:val="Paragraphedeliste"/>
        <w:numPr>
          <w:ilvl w:val="0"/>
          <w:numId w:val="78"/>
        </w:numPr>
      </w:pPr>
      <w:r>
        <w:t>Article 61.10 &amp; WET</w:t>
      </w:r>
    </w:p>
    <w:p w14:paraId="4E6E0048" w14:textId="2DF18B6B" w:rsidR="00373CDC" w:rsidRDefault="00373CDC" w:rsidP="00373CDC">
      <w:pPr>
        <w:pStyle w:val="Paragraphedeliste"/>
        <w:numPr>
          <w:ilvl w:val="0"/>
          <w:numId w:val="78"/>
        </w:numPr>
      </w:pPr>
      <w:r>
        <w:t>Digitalisation</w:t>
      </w:r>
    </w:p>
    <w:p w14:paraId="25100993" w14:textId="2874BBAA" w:rsidR="00373CDC" w:rsidRDefault="00C27FA3" w:rsidP="00373CDC">
      <w:pPr>
        <w:pStyle w:val="Paragraphedeliste"/>
        <w:numPr>
          <w:ilvl w:val="0"/>
          <w:numId w:val="78"/>
        </w:numPr>
      </w:pPr>
      <w:r>
        <w:t>Coding for MD and IVD</w:t>
      </w:r>
    </w:p>
    <w:p w14:paraId="74E58903" w14:textId="07028E19" w:rsidR="00C27FA3" w:rsidRDefault="00C27FA3" w:rsidP="00373CDC">
      <w:pPr>
        <w:pStyle w:val="Paragraphedeliste"/>
        <w:numPr>
          <w:ilvl w:val="0"/>
          <w:numId w:val="78"/>
        </w:numPr>
      </w:pPr>
      <w:r>
        <w:t>Designation and recertification</w:t>
      </w:r>
    </w:p>
    <w:p w14:paraId="65333190" w14:textId="71D173A3" w:rsidR="00C27FA3" w:rsidRDefault="00C27FA3" w:rsidP="00373CDC">
      <w:pPr>
        <w:pStyle w:val="Paragraphedeliste"/>
        <w:numPr>
          <w:ilvl w:val="0"/>
          <w:numId w:val="78"/>
        </w:numPr>
      </w:pPr>
      <w:r>
        <w:t>Breakthrough</w:t>
      </w:r>
    </w:p>
    <w:p w14:paraId="54033AF4" w14:textId="70CA641F" w:rsidR="00C27FA3" w:rsidRDefault="00C27FA3" w:rsidP="00C27FA3">
      <w:r>
        <w:t>There are many other topics and areas of discussion which the notified bodies continue to engage with</w:t>
      </w:r>
      <w:r w:rsidR="008C600B">
        <w:t xml:space="preserve">; this proposal is not an exhaustive representation of our interests in the ongoing MDR and IVDR review process. However, </w:t>
      </w:r>
      <w:r w:rsidR="00E3529B">
        <w:t xml:space="preserve">it is hoped that </w:t>
      </w:r>
      <w:r w:rsidR="009329F9">
        <w:t>the</w:t>
      </w:r>
      <w:r w:rsidR="00E3529B">
        <w:t xml:space="preserve"> views</w:t>
      </w:r>
      <w:r w:rsidR="009329F9">
        <w:t xml:space="preserve"> included in this proposal</w:t>
      </w:r>
      <w:r w:rsidR="00E3529B">
        <w:t xml:space="preserve"> will be taken into consideration by the European Commission</w:t>
      </w:r>
      <w:r w:rsidR="009329F9">
        <w:t xml:space="preserve"> as part of the review process</w:t>
      </w:r>
      <w:r w:rsidR="00E3529B">
        <w:t xml:space="preserve">. </w:t>
      </w:r>
    </w:p>
    <w:p w14:paraId="58DF1E1B" w14:textId="559EBC7C" w:rsidR="00D574EE" w:rsidRDefault="00E3529B" w:rsidP="00C27FA3">
      <w:r>
        <w:t xml:space="preserve">This document can be divided into </w:t>
      </w:r>
      <w:r w:rsidR="00D574EE">
        <w:t>five sections:</w:t>
      </w:r>
    </w:p>
    <w:p w14:paraId="347DA274" w14:textId="150833B9" w:rsidR="00D574EE" w:rsidRDefault="00D574EE" w:rsidP="00D574EE">
      <w:pPr>
        <w:pStyle w:val="Paragraphedeliste"/>
        <w:numPr>
          <w:ilvl w:val="0"/>
          <w:numId w:val="79"/>
        </w:numPr>
      </w:pPr>
      <w:r>
        <w:t>Executive summaries of each task force</w:t>
      </w:r>
    </w:p>
    <w:p w14:paraId="4F1774E4" w14:textId="06F333F2" w:rsidR="00D574EE" w:rsidRDefault="00D574EE" w:rsidP="00D574EE">
      <w:pPr>
        <w:pStyle w:val="Paragraphedeliste"/>
        <w:numPr>
          <w:ilvl w:val="0"/>
          <w:numId w:val="79"/>
        </w:numPr>
      </w:pPr>
      <w:r>
        <w:t>Annex I: proposed legislative text amendments based on outputs from the six task forces</w:t>
      </w:r>
    </w:p>
    <w:p w14:paraId="5A6105DC" w14:textId="1F6A4239" w:rsidR="00D574EE" w:rsidRDefault="00D574EE" w:rsidP="00D574EE">
      <w:pPr>
        <w:pStyle w:val="Paragraphedeliste"/>
        <w:numPr>
          <w:ilvl w:val="0"/>
          <w:numId w:val="79"/>
        </w:numPr>
      </w:pPr>
      <w:r>
        <w:t>Annex II: proposed coding structure for medical devices and IVDs</w:t>
      </w:r>
    </w:p>
    <w:p w14:paraId="5015171C" w14:textId="38A3BA1C" w:rsidR="00D574EE" w:rsidRDefault="00D574EE" w:rsidP="00D574EE">
      <w:pPr>
        <w:pStyle w:val="Paragraphedeliste"/>
        <w:numPr>
          <w:ilvl w:val="0"/>
          <w:numId w:val="79"/>
        </w:numPr>
      </w:pPr>
      <w:r>
        <w:t xml:space="preserve">Annex III: background information and written proposals for each </w:t>
      </w:r>
      <w:r w:rsidR="0052761E">
        <w:t>task force</w:t>
      </w:r>
    </w:p>
    <w:p w14:paraId="79C32073" w14:textId="23229502" w:rsidR="0052761E" w:rsidRDefault="0052761E" w:rsidP="00D574EE">
      <w:pPr>
        <w:pStyle w:val="Paragraphedeliste"/>
        <w:numPr>
          <w:ilvl w:val="0"/>
          <w:numId w:val="79"/>
        </w:numPr>
      </w:pPr>
      <w:r>
        <w:t>Annex IV: abbreviations</w:t>
      </w:r>
    </w:p>
    <w:p w14:paraId="03E758AD" w14:textId="4AE69C62" w:rsidR="0052761E" w:rsidRDefault="0052761E" w:rsidP="0052761E">
      <w:r>
        <w:t xml:space="preserve">The notified bodies remain at the </w:t>
      </w:r>
      <w:r w:rsidR="004645CD">
        <w:t>disposal of the European Commission if any further clarity o</w:t>
      </w:r>
      <w:r w:rsidR="00EE1BDB">
        <w:t>r</w:t>
      </w:r>
      <w:r w:rsidR="004645CD">
        <w:t xml:space="preserve"> dialogue is required. </w:t>
      </w:r>
    </w:p>
    <w:p w14:paraId="1E05A8C6" w14:textId="77777777" w:rsidR="00B67DB1" w:rsidRDefault="00B67DB1" w:rsidP="00A32179"/>
    <w:p w14:paraId="73E1EF4B" w14:textId="3D3BB728" w:rsidR="00B67DB1" w:rsidRPr="00C520F6" w:rsidRDefault="00B67DB1" w:rsidP="00EE1BDB">
      <w:pPr>
        <w:pStyle w:val="Titre2"/>
        <w:numPr>
          <w:ilvl w:val="0"/>
          <w:numId w:val="67"/>
        </w:numPr>
        <w:spacing w:before="0"/>
      </w:pPr>
      <w:r>
        <w:t>Early Dialogue</w:t>
      </w:r>
    </w:p>
    <w:p w14:paraId="3DA5F926" w14:textId="6B41D9EB" w:rsidR="00B67DB1" w:rsidRDefault="00B67DB1" w:rsidP="00B67DB1">
      <w:pPr>
        <w:spacing w:before="0" w:after="0"/>
      </w:pPr>
      <w:r w:rsidRPr="00460675">
        <w:t xml:space="preserve">An early dialogue system should be established to </w:t>
      </w:r>
      <w:r>
        <w:t xml:space="preserve">improve the transparency of the conformity assessment process. Early dialogue </w:t>
      </w:r>
      <w:r w:rsidR="00AF6555">
        <w:t>would</w:t>
      </w:r>
      <w:r>
        <w:t xml:space="preserve"> allow manufacturers to gain an understanding of potential gaps prior to going through complete conformity </w:t>
      </w:r>
      <w:r>
        <w:lastRenderedPageBreak/>
        <w:t xml:space="preserve">assessment, increasing the overall speed to market. This would be beneficial for manufacturers, NBs and patients who will ultimately receive MDs faster. </w:t>
      </w:r>
    </w:p>
    <w:p w14:paraId="2353FCC0" w14:textId="77777777" w:rsidR="00B67DB1" w:rsidRDefault="00B67DB1" w:rsidP="00B67DB1">
      <w:pPr>
        <w:spacing w:before="0" w:after="0"/>
      </w:pPr>
    </w:p>
    <w:p w14:paraId="68141256" w14:textId="57C07CA1" w:rsidR="00B67DB1" w:rsidRDefault="00B67DB1" w:rsidP="00B67DB1">
      <w:pPr>
        <w:spacing w:before="0" w:after="0"/>
      </w:pPr>
      <w:r>
        <w:t>The system must be built pragmatically, ensuring MDs still meet minimum thresholds on evidence. The proposal generated by NBs do</w:t>
      </w:r>
      <w:r w:rsidR="00AF6555">
        <w:t>es</w:t>
      </w:r>
      <w:r>
        <w:t xml:space="preserve"> not reduce the regulatory </w:t>
      </w:r>
      <w:r w:rsidR="00517A42">
        <w:t xml:space="preserve">requirements </w:t>
      </w:r>
      <w:r>
        <w:t>for manufacturers but create a more open environment to discuss challenges</w:t>
      </w:r>
      <w:r w:rsidR="009E5C27">
        <w:t xml:space="preserve"> upfront</w:t>
      </w:r>
      <w:r>
        <w:t xml:space="preserve">. This </w:t>
      </w:r>
      <w:r w:rsidR="00AF6555">
        <w:t>extends</w:t>
      </w:r>
      <w:r>
        <w:t xml:space="preserve"> beyond the remits of </w:t>
      </w:r>
      <w:r w:rsidR="00AF6555">
        <w:t xml:space="preserve">current </w:t>
      </w:r>
      <w:r>
        <w:t xml:space="preserve">structured dialogue, </w:t>
      </w:r>
      <w:r w:rsidR="00AF6555">
        <w:t>venturing</w:t>
      </w:r>
      <w:r>
        <w:t xml:space="preserve"> into </w:t>
      </w:r>
      <w:r w:rsidR="00AF6555">
        <w:t>the</w:t>
      </w:r>
      <w:r>
        <w:t xml:space="preserve"> clinical </w:t>
      </w:r>
      <w:r w:rsidR="00AF6555">
        <w:t>domain</w:t>
      </w:r>
      <w:r>
        <w:t>.</w:t>
      </w:r>
    </w:p>
    <w:p w14:paraId="65105D1C" w14:textId="77777777" w:rsidR="00B67DB1" w:rsidRDefault="00B67DB1" w:rsidP="00B67DB1">
      <w:pPr>
        <w:spacing w:before="0" w:after="0"/>
      </w:pPr>
    </w:p>
    <w:p w14:paraId="26EB8C90" w14:textId="7E9FBFBC" w:rsidR="00B67DB1" w:rsidRDefault="00AF6555" w:rsidP="00AF6555">
      <w:pPr>
        <w:spacing w:before="0" w:after="0"/>
      </w:pPr>
      <w:r w:rsidRPr="00AF6555">
        <w:t>Appropriate safeguards are important to maintain objectivity, independence, and impartiality, same as confidentiality and documentation of these discussions. The proposal includes a framework for the implementation of a general agreement between the parties involved.</w:t>
      </w:r>
    </w:p>
    <w:p w14:paraId="5D982F34" w14:textId="77777777" w:rsidR="00AF6555" w:rsidRDefault="00AF6555" w:rsidP="00AF6555">
      <w:pPr>
        <w:spacing w:before="0" w:after="0"/>
      </w:pPr>
    </w:p>
    <w:p w14:paraId="6DEEA415" w14:textId="236F05A6" w:rsidR="00B67DB1" w:rsidRPr="00C520F6" w:rsidRDefault="00B67DB1" w:rsidP="00EE1BDB">
      <w:pPr>
        <w:pStyle w:val="Titre2"/>
        <w:numPr>
          <w:ilvl w:val="0"/>
          <w:numId w:val="67"/>
        </w:numPr>
        <w:spacing w:before="0"/>
      </w:pPr>
      <w:r>
        <w:t>Article 61.10 &amp; WET</w:t>
      </w:r>
    </w:p>
    <w:p w14:paraId="7719BD0D" w14:textId="43790C95" w:rsidR="00B67DB1" w:rsidRDefault="00B67DB1" w:rsidP="00B67DB1">
      <w:pPr>
        <w:spacing w:before="0" w:after="0"/>
      </w:pPr>
      <w:r w:rsidRPr="005E432D">
        <w:t xml:space="preserve">The current MDR framework creates </w:t>
      </w:r>
      <w:r w:rsidR="00AF6555">
        <w:t xml:space="preserve">in some cases </w:t>
      </w:r>
      <w:r w:rsidRPr="005E432D">
        <w:t>a contradiction by requiring clinical data for all medical devices, even when such data may not be appropriate. Article 61(10) was introduced to address this, but it has led to an artificial divide between devices with and without clinical data, which does not reflect real-world practice.</w:t>
      </w:r>
    </w:p>
    <w:p w14:paraId="31768CA4" w14:textId="77777777" w:rsidR="00B67DB1" w:rsidRPr="005E432D" w:rsidRDefault="00B67DB1" w:rsidP="00B67DB1">
      <w:pPr>
        <w:spacing w:before="0" w:after="0"/>
      </w:pPr>
    </w:p>
    <w:p w14:paraId="2BFE3F3A" w14:textId="57678075" w:rsidR="00B67DB1" w:rsidRDefault="00B67DB1" w:rsidP="00B67DB1">
      <w:pPr>
        <w:spacing w:before="0" w:after="0"/>
      </w:pPr>
      <w:r w:rsidRPr="005E432D">
        <w:t xml:space="preserve">This divide leads to lengthy debates between manufacturers and notified bodies whether </w:t>
      </w:r>
      <w:r w:rsidR="00AF6555">
        <w:t>A</w:t>
      </w:r>
      <w:r w:rsidRPr="005E432D">
        <w:t>rt</w:t>
      </w:r>
      <w:r w:rsidR="00AF6555">
        <w:t>icle</w:t>
      </w:r>
      <w:r w:rsidRPr="005E432D">
        <w:t xml:space="preserve"> 61.10 is applicable or not, rather than focusing on the best evidence to demonstrate safety</w:t>
      </w:r>
      <w:r w:rsidR="00AF6555">
        <w:t>, clinical benefit</w:t>
      </w:r>
      <w:r w:rsidRPr="005E432D">
        <w:t xml:space="preserve"> and performance. In reality, most devices rely on a mix of clinical and non-clinical data, and the required balance varies by device.</w:t>
      </w:r>
    </w:p>
    <w:p w14:paraId="53CC7121" w14:textId="77777777" w:rsidR="00B67DB1" w:rsidRPr="005E432D" w:rsidRDefault="00B67DB1" w:rsidP="00B67DB1">
      <w:pPr>
        <w:spacing w:before="0" w:after="0"/>
      </w:pPr>
    </w:p>
    <w:p w14:paraId="651CEFC1" w14:textId="77777777" w:rsidR="00B67DB1" w:rsidRPr="005E432D" w:rsidRDefault="00B67DB1" w:rsidP="00B67DB1">
      <w:pPr>
        <w:spacing w:before="0" w:after="0"/>
      </w:pPr>
      <w:r w:rsidRPr="005E432D">
        <w:t>Our proposal aims to:</w:t>
      </w:r>
    </w:p>
    <w:p w14:paraId="2226A71E" w14:textId="3ADCDB6D" w:rsidR="00B67DB1" w:rsidRPr="005E432D" w:rsidRDefault="00AF6555" w:rsidP="00B67DB1">
      <w:pPr>
        <w:pStyle w:val="Paragraphedeliste"/>
        <w:numPr>
          <w:ilvl w:val="0"/>
          <w:numId w:val="55"/>
        </w:numPr>
        <w:spacing w:before="0" w:after="0"/>
      </w:pPr>
      <w:r w:rsidRPr="00AF6555">
        <w:t xml:space="preserve">Redefine the criteria for the applicability to </w:t>
      </w:r>
      <w:r>
        <w:t>n</w:t>
      </w:r>
      <w:r w:rsidR="00B67DB1" w:rsidRPr="005E432D">
        <w:t>arrow the scope of Article 61(10) and clarify its application.</w:t>
      </w:r>
    </w:p>
    <w:p w14:paraId="3FE5E1DF" w14:textId="77777777" w:rsidR="00B67DB1" w:rsidRPr="005E432D" w:rsidRDefault="00B67DB1" w:rsidP="00B67DB1">
      <w:pPr>
        <w:pStyle w:val="Paragraphedeliste"/>
        <w:numPr>
          <w:ilvl w:val="0"/>
          <w:numId w:val="55"/>
        </w:numPr>
        <w:spacing w:before="0" w:after="0"/>
      </w:pPr>
      <w:r w:rsidRPr="005E432D">
        <w:lastRenderedPageBreak/>
        <w:t>Broaden the definition of clinical data (Article 2(48)) to include real-world evidence, post-market data, and relevant international sources.</w:t>
      </w:r>
    </w:p>
    <w:p w14:paraId="7116F5C9" w14:textId="77777777" w:rsidR="00B67DB1" w:rsidRPr="005E432D" w:rsidRDefault="00B67DB1" w:rsidP="00B67DB1">
      <w:pPr>
        <w:pStyle w:val="Paragraphedeliste"/>
        <w:numPr>
          <w:ilvl w:val="0"/>
          <w:numId w:val="55"/>
        </w:numPr>
        <w:spacing w:before="0" w:after="0"/>
      </w:pPr>
      <w:r w:rsidRPr="005E432D">
        <w:t>Redefine clinical evaluation (Article 2(44)) and clinical evidence (Article 2(51)) to include clinically relevant non-clinical data.</w:t>
      </w:r>
    </w:p>
    <w:p w14:paraId="18E00EB1" w14:textId="77777777" w:rsidR="00B67DB1" w:rsidRPr="005E432D" w:rsidRDefault="00B67DB1" w:rsidP="00B67DB1">
      <w:pPr>
        <w:pStyle w:val="Paragraphedeliste"/>
        <w:numPr>
          <w:ilvl w:val="0"/>
          <w:numId w:val="55"/>
        </w:numPr>
        <w:spacing w:before="0" w:after="0"/>
      </w:pPr>
      <w:r w:rsidRPr="005E432D">
        <w:t>Clarify that clinical evaluations are typically based on clinical data but may incorporate other relevant data.</w:t>
      </w:r>
    </w:p>
    <w:p w14:paraId="66A05AB7" w14:textId="6F12724F" w:rsidR="00B67DB1" w:rsidRPr="005E432D" w:rsidRDefault="00AF6555" w:rsidP="00B67DB1">
      <w:pPr>
        <w:pStyle w:val="Paragraphedeliste"/>
        <w:numPr>
          <w:ilvl w:val="0"/>
          <w:numId w:val="55"/>
        </w:numPr>
        <w:spacing w:before="0" w:after="0"/>
      </w:pPr>
      <w:r>
        <w:t>Issue</w:t>
      </w:r>
      <w:r w:rsidR="00B67DB1" w:rsidRPr="005E432D">
        <w:t xml:space="preserve"> MDCG guidance to reflect a more holistic understanding of “sufficient clinical evidence.”</w:t>
      </w:r>
    </w:p>
    <w:p w14:paraId="30C50416" w14:textId="77777777" w:rsidR="00B67DB1" w:rsidRDefault="00B67DB1" w:rsidP="00B67DB1">
      <w:pPr>
        <w:spacing w:before="0" w:after="0"/>
      </w:pPr>
    </w:p>
    <w:p w14:paraId="113A7F29" w14:textId="77777777" w:rsidR="00B67DB1" w:rsidRPr="00460675" w:rsidRDefault="00B67DB1" w:rsidP="00B67DB1">
      <w:pPr>
        <w:spacing w:before="0" w:after="0"/>
        <w:rPr>
          <w:b/>
          <w:bCs/>
        </w:rPr>
      </w:pPr>
      <w:r w:rsidRPr="00FB177E">
        <w:rPr>
          <w:b/>
          <w:bCs/>
        </w:rPr>
        <w:t>Expected Impact:</w:t>
      </w:r>
    </w:p>
    <w:p w14:paraId="0C2D0018" w14:textId="77777777" w:rsidR="00B67DB1" w:rsidRPr="005E432D" w:rsidRDefault="00B67DB1" w:rsidP="00B67DB1">
      <w:pPr>
        <w:pStyle w:val="Paragraphedeliste"/>
        <w:numPr>
          <w:ilvl w:val="0"/>
          <w:numId w:val="56"/>
        </w:numPr>
        <w:spacing w:before="0" w:after="0"/>
      </w:pPr>
      <w:r w:rsidRPr="005E432D">
        <w:t>Reduces the artificial barrier between clinical and non-clinical data.</w:t>
      </w:r>
    </w:p>
    <w:p w14:paraId="324227D0" w14:textId="5770B5AD" w:rsidR="00B67DB1" w:rsidRDefault="00B67DB1" w:rsidP="00B67DB1">
      <w:pPr>
        <w:pStyle w:val="Paragraphedeliste"/>
        <w:numPr>
          <w:ilvl w:val="0"/>
          <w:numId w:val="56"/>
        </w:numPr>
        <w:spacing w:before="0" w:after="0"/>
      </w:pPr>
      <w:r w:rsidRPr="005E432D">
        <w:t>Aligns regulation with reality, improving clarity and efficiency.</w:t>
      </w:r>
    </w:p>
    <w:p w14:paraId="60BB7459" w14:textId="77777777" w:rsidR="00AF6555" w:rsidRDefault="00AF6555" w:rsidP="00AF6555">
      <w:pPr>
        <w:pStyle w:val="Paragraphedeliste"/>
        <w:numPr>
          <w:ilvl w:val="0"/>
          <w:numId w:val="56"/>
        </w:numPr>
        <w:spacing w:before="0" w:after="0"/>
      </w:pPr>
      <w:r>
        <w:t xml:space="preserve">No additional burden or costs are expected, as it is adding solutions for devices which are currently struggling to obtain a certificate </w:t>
      </w:r>
    </w:p>
    <w:p w14:paraId="22E56F6C" w14:textId="77777777" w:rsidR="00682871" w:rsidRDefault="00682871" w:rsidP="00682871">
      <w:pPr>
        <w:spacing w:before="0" w:after="0"/>
        <w:ind w:left="360"/>
      </w:pPr>
    </w:p>
    <w:p w14:paraId="353D8F56" w14:textId="58C9666B" w:rsidR="00B67DB1" w:rsidRPr="00C520F6" w:rsidRDefault="00B67DB1" w:rsidP="00EE1BDB">
      <w:pPr>
        <w:pStyle w:val="Titre2"/>
        <w:numPr>
          <w:ilvl w:val="0"/>
          <w:numId w:val="67"/>
        </w:numPr>
        <w:spacing w:before="0"/>
      </w:pPr>
      <w:r>
        <w:t>Digitalisation</w:t>
      </w:r>
    </w:p>
    <w:p w14:paraId="15B0B089" w14:textId="77777777" w:rsidR="00B67DB1" w:rsidRDefault="00B67DB1" w:rsidP="00B67DB1">
      <w:pPr>
        <w:spacing w:before="0" w:after="0"/>
      </w:pPr>
      <w:r w:rsidRPr="00840A37">
        <w:t>Digitalisation offers significant potential to improve regulatory efficiency and reduce costs. Under MDR and IVDR, enabling fully digital processes—such as machine-readable documentation and remote audits—can streamline assessments by notified bodies. In the future, intelligent assistant systems may support data-driven instead of document-driven product evaluations.</w:t>
      </w:r>
    </w:p>
    <w:p w14:paraId="36712687" w14:textId="77777777" w:rsidR="00B67DB1" w:rsidRPr="00840A37" w:rsidRDefault="00B67DB1" w:rsidP="00B67DB1">
      <w:pPr>
        <w:spacing w:before="0" w:after="0"/>
      </w:pPr>
    </w:p>
    <w:p w14:paraId="2DDFC9B5" w14:textId="77777777" w:rsidR="00B67DB1" w:rsidRPr="00840A37" w:rsidRDefault="00B67DB1" w:rsidP="00B67DB1">
      <w:pPr>
        <w:spacing w:before="0" w:after="0"/>
      </w:pPr>
      <w:r w:rsidRPr="00840A37">
        <w:t xml:space="preserve">Advances in computing and AI also support the use of </w:t>
      </w:r>
      <w:r w:rsidRPr="00460675">
        <w:t>in silico</w:t>
      </w:r>
      <w:r w:rsidRPr="00840A37">
        <w:t xml:space="preserve"> methods (e.g. simulations) to generate evidence of device safety and performance. These methods can contribute to the 3Rs—replacement, reduction, and refinement—of animal testing. </w:t>
      </w:r>
    </w:p>
    <w:p w14:paraId="7D49F539" w14:textId="77777777" w:rsidR="00B67DB1" w:rsidRPr="00840A37" w:rsidRDefault="00B67DB1" w:rsidP="00B67DB1">
      <w:pPr>
        <w:spacing w:before="0" w:after="0"/>
      </w:pPr>
      <w:r w:rsidRPr="00840A37">
        <w:t>Our proposals aim to:</w:t>
      </w:r>
    </w:p>
    <w:p w14:paraId="19518F0F" w14:textId="77777777" w:rsidR="00B67DB1" w:rsidRPr="00840A37" w:rsidRDefault="00B67DB1" w:rsidP="00B67DB1">
      <w:pPr>
        <w:pStyle w:val="Paragraphedeliste"/>
        <w:numPr>
          <w:ilvl w:val="0"/>
          <w:numId w:val="58"/>
        </w:numPr>
        <w:spacing w:before="0" w:after="0"/>
      </w:pPr>
      <w:r w:rsidRPr="00840A37">
        <w:t>Enable digital regulatory processes.</w:t>
      </w:r>
    </w:p>
    <w:p w14:paraId="68E9F5F5" w14:textId="77777777" w:rsidR="00B67DB1" w:rsidRDefault="00B67DB1" w:rsidP="00B67DB1">
      <w:pPr>
        <w:pStyle w:val="Paragraphedeliste"/>
        <w:numPr>
          <w:ilvl w:val="0"/>
          <w:numId w:val="58"/>
        </w:numPr>
        <w:spacing w:before="0" w:after="0"/>
      </w:pPr>
      <w:r w:rsidRPr="00840A37">
        <w:t xml:space="preserve">Recognise </w:t>
      </w:r>
      <w:r w:rsidRPr="00460675">
        <w:t>in silico</w:t>
      </w:r>
      <w:r w:rsidRPr="00840A37">
        <w:t xml:space="preserve"> methodologies as valid evidence sources.</w:t>
      </w:r>
    </w:p>
    <w:p w14:paraId="270D510A" w14:textId="7932E4C5" w:rsidR="00BD0123" w:rsidRDefault="00BD0123" w:rsidP="00FE302A"/>
    <w:p w14:paraId="69EE7435" w14:textId="51A130B8" w:rsidR="00FE302A" w:rsidRPr="00C520F6" w:rsidRDefault="00C27FA3" w:rsidP="007E1D2E">
      <w:pPr>
        <w:pStyle w:val="Titre2"/>
        <w:numPr>
          <w:ilvl w:val="0"/>
          <w:numId w:val="67"/>
        </w:numPr>
        <w:spacing w:before="0"/>
      </w:pPr>
      <w:r>
        <w:lastRenderedPageBreak/>
        <w:t>Coding for MD and IVD</w:t>
      </w:r>
    </w:p>
    <w:p w14:paraId="7BECFCCE" w14:textId="30A3070C" w:rsidR="00FE302A" w:rsidRDefault="00FE302A" w:rsidP="00FE302A">
      <w:pPr>
        <w:spacing w:before="0" w:after="0"/>
        <w:rPr>
          <w:iCs/>
        </w:rPr>
      </w:pPr>
      <w:r>
        <w:rPr>
          <w:iCs/>
        </w:rPr>
        <w:t xml:space="preserve">NBs have produced a proposal to amend the existing coding structure for MDs and IVDs. This can be found in </w:t>
      </w:r>
      <w:hyperlink w:anchor="_Annex_II:_Proposed" w:history="1">
        <w:r w:rsidR="00B30917" w:rsidRPr="00B30917">
          <w:rPr>
            <w:rStyle w:val="Lienhypertexte"/>
            <w:iCs/>
          </w:rPr>
          <w:t>Annex II</w:t>
        </w:r>
      </w:hyperlink>
      <w:r>
        <w:rPr>
          <w:iCs/>
        </w:rPr>
        <w:t>.</w:t>
      </w:r>
    </w:p>
    <w:p w14:paraId="4DAB5CBA" w14:textId="77777777" w:rsidR="00FE302A" w:rsidRDefault="00FE302A" w:rsidP="00FE302A">
      <w:pPr>
        <w:spacing w:before="0" w:after="0"/>
        <w:rPr>
          <w:iCs/>
        </w:rPr>
      </w:pPr>
    </w:p>
    <w:p w14:paraId="42112902" w14:textId="77777777" w:rsidR="00FE302A" w:rsidRDefault="00FE302A" w:rsidP="00FE302A">
      <w:pPr>
        <w:spacing w:before="0" w:after="0"/>
        <w:rPr>
          <w:iCs/>
        </w:rPr>
      </w:pPr>
      <w:r w:rsidRPr="009A5E9A">
        <w:rPr>
          <w:iCs/>
        </w:rPr>
        <w:t>Consolidating and eliminating codes will have a measurable but manageable impact on devices currently placed on the EU market under the IVDR</w:t>
      </w:r>
      <w:r>
        <w:rPr>
          <w:iCs/>
        </w:rPr>
        <w:t xml:space="preserve"> by reducing complexity and aligning practices</w:t>
      </w:r>
      <w:r w:rsidRPr="009A5E9A">
        <w:rPr>
          <w:iCs/>
        </w:rPr>
        <w:t>.</w:t>
      </w:r>
      <w:r>
        <w:rPr>
          <w:iCs/>
        </w:rPr>
        <w:t xml:space="preserve"> Competence within NBs would be maintained, while these positive impacts would be recognised through streamlined processes across multiple stakeholders. </w:t>
      </w:r>
    </w:p>
    <w:p w14:paraId="275EF89C" w14:textId="77777777" w:rsidR="00FE302A" w:rsidRDefault="00FE302A" w:rsidP="00FE302A">
      <w:pPr>
        <w:spacing w:before="0" w:after="0"/>
        <w:rPr>
          <w:iCs/>
        </w:rPr>
      </w:pPr>
    </w:p>
    <w:p w14:paraId="01744C12" w14:textId="77777777" w:rsidR="00FE302A" w:rsidRDefault="00FE302A" w:rsidP="00FE302A">
      <w:pPr>
        <w:spacing w:before="0" w:after="0"/>
        <w:rPr>
          <w:iCs/>
        </w:rPr>
      </w:pPr>
      <w:r>
        <w:rPr>
          <w:iCs/>
        </w:rPr>
        <w:t xml:space="preserve">These proposals should be implemented in a pragmatic way with robust guidance and support to ensure consistency and minimisation of difficulties. </w:t>
      </w:r>
    </w:p>
    <w:p w14:paraId="65970862" w14:textId="77777777" w:rsidR="00FE302A" w:rsidRDefault="00FE302A" w:rsidP="00FE302A">
      <w:pPr>
        <w:spacing w:before="0" w:after="0"/>
        <w:rPr>
          <w:iCs/>
        </w:rPr>
      </w:pPr>
    </w:p>
    <w:p w14:paraId="6E297A22" w14:textId="77777777" w:rsidR="00FE302A" w:rsidRPr="00460675" w:rsidRDefault="00FE302A" w:rsidP="00FE302A">
      <w:pPr>
        <w:spacing w:before="0" w:after="0"/>
        <w:rPr>
          <w:iCs/>
          <w:u w:val="single"/>
        </w:rPr>
      </w:pPr>
      <w:r w:rsidRPr="00460675">
        <w:rPr>
          <w:iCs/>
          <w:u w:val="single"/>
        </w:rPr>
        <w:t>Impact</w:t>
      </w:r>
    </w:p>
    <w:p w14:paraId="483F4A2F" w14:textId="77777777" w:rsidR="00FE302A" w:rsidRPr="00644257" w:rsidRDefault="00FE302A" w:rsidP="00FE302A">
      <w:pPr>
        <w:pStyle w:val="Paragraphedeliste"/>
        <w:numPr>
          <w:ilvl w:val="0"/>
          <w:numId w:val="13"/>
        </w:numPr>
        <w:spacing w:before="0" w:after="0"/>
        <w:rPr>
          <w:iCs/>
        </w:rPr>
      </w:pPr>
      <w:r w:rsidRPr="009A5E9A">
        <w:rPr>
          <w:u w:val="single"/>
        </w:rPr>
        <w:t>Labelling and Documentation</w:t>
      </w:r>
      <w:r>
        <w:rPr>
          <w:u w:val="single"/>
        </w:rPr>
        <w:t xml:space="preserve">: </w:t>
      </w:r>
      <w:r w:rsidRPr="00176C2E">
        <w:rPr>
          <w:iCs/>
        </w:rPr>
        <w:t xml:space="preserve">No impact to device performance or intended use (change is administrative, no </w:t>
      </w:r>
      <w:r>
        <w:rPr>
          <w:iCs/>
        </w:rPr>
        <w:t>e</w:t>
      </w:r>
      <w:r w:rsidRPr="00176C2E">
        <w:rPr>
          <w:iCs/>
        </w:rPr>
        <w:t xml:space="preserve">ffect on device safety, clinical purpose, or analytical functionality); </w:t>
      </w:r>
      <w:r w:rsidRPr="00644257">
        <w:rPr>
          <w:iCs/>
        </w:rPr>
        <w:t>updates to technical documentation may be required to align with the new IVR code, particularly SSP, Declarations of Conformity, or risk classifications;</w:t>
      </w:r>
      <w:r>
        <w:rPr>
          <w:iCs/>
        </w:rPr>
        <w:t xml:space="preserve"> d</w:t>
      </w:r>
      <w:r w:rsidRPr="00644257">
        <w:rPr>
          <w:iCs/>
        </w:rPr>
        <w:t>evice labelling is unlikely to require changes.</w:t>
      </w:r>
    </w:p>
    <w:p w14:paraId="3F0DD334" w14:textId="77777777" w:rsidR="00FE302A" w:rsidRPr="00644257" w:rsidRDefault="00FE302A" w:rsidP="00FE302A">
      <w:pPr>
        <w:pStyle w:val="Paragraphedeliste"/>
        <w:numPr>
          <w:ilvl w:val="0"/>
          <w:numId w:val="14"/>
        </w:numPr>
        <w:spacing w:before="0" w:after="0"/>
        <w:rPr>
          <w:iCs/>
        </w:rPr>
      </w:pPr>
      <w:r w:rsidRPr="00460675">
        <w:rPr>
          <w:iCs/>
          <w:u w:val="single"/>
        </w:rPr>
        <w:t>NB Certificates and Surveillance</w:t>
      </w:r>
      <w:r w:rsidRPr="00644257">
        <w:rPr>
          <w:iCs/>
          <w:u w:val="single"/>
        </w:rPr>
        <w:t xml:space="preserve">: </w:t>
      </w:r>
      <w:r w:rsidRPr="00644257">
        <w:rPr>
          <w:iCs/>
        </w:rPr>
        <w:t xml:space="preserve">Certificates issued may need to be updated or reissued; no immediate re-certification is required solely due to the code consolidation; </w:t>
      </w:r>
      <w:r>
        <w:rPr>
          <w:iCs/>
        </w:rPr>
        <w:t>s</w:t>
      </w:r>
      <w:r w:rsidRPr="00644257">
        <w:rPr>
          <w:iCs/>
        </w:rPr>
        <w:t>urveillance activities should reference the updated IVDR code going forward, with clear documentation of equivalence to the legacy code(s)</w:t>
      </w:r>
      <w:r>
        <w:rPr>
          <w:iCs/>
        </w:rPr>
        <w:t xml:space="preserve">; </w:t>
      </w:r>
      <w:r w:rsidRPr="00644257">
        <w:rPr>
          <w:iCs/>
        </w:rPr>
        <w:t>effect on sampling plans.</w:t>
      </w:r>
    </w:p>
    <w:p w14:paraId="106C3B79" w14:textId="77777777" w:rsidR="00FE302A" w:rsidRPr="00B64662" w:rsidRDefault="00FE302A" w:rsidP="00FE302A">
      <w:pPr>
        <w:pStyle w:val="Paragraphedeliste"/>
        <w:numPr>
          <w:ilvl w:val="0"/>
          <w:numId w:val="12"/>
        </w:numPr>
        <w:spacing w:before="0" w:after="0"/>
        <w:rPr>
          <w:iCs/>
        </w:rPr>
      </w:pPr>
      <w:r w:rsidRPr="00460675">
        <w:rPr>
          <w:iCs/>
          <w:u w:val="single"/>
        </w:rPr>
        <w:t>Transitional Considerations</w:t>
      </w:r>
      <w:r w:rsidRPr="00692B06">
        <w:rPr>
          <w:iCs/>
          <w:u w:val="single"/>
        </w:rPr>
        <w:t xml:space="preserve">: </w:t>
      </w:r>
      <w:r>
        <w:rPr>
          <w:iCs/>
        </w:rPr>
        <w:t>D</w:t>
      </w:r>
      <w:r w:rsidRPr="00692B06">
        <w:rPr>
          <w:iCs/>
        </w:rPr>
        <w:t xml:space="preserve">efined transition </w:t>
      </w:r>
      <w:r>
        <w:rPr>
          <w:iCs/>
        </w:rPr>
        <w:t>required</w:t>
      </w:r>
      <w:r w:rsidRPr="00692B06">
        <w:rPr>
          <w:iCs/>
        </w:rPr>
        <w:t xml:space="preserve"> (e.g., until renewal), during which</w:t>
      </w:r>
      <w:r>
        <w:rPr>
          <w:iCs/>
        </w:rPr>
        <w:t>: b</w:t>
      </w:r>
      <w:r w:rsidRPr="00692B06">
        <w:rPr>
          <w:iCs/>
        </w:rPr>
        <w:t>oth legacy and new codes are accepted in regulatory submissions and NB scope documentation</w:t>
      </w:r>
      <w:r>
        <w:rPr>
          <w:iCs/>
        </w:rPr>
        <w:t xml:space="preserve"> AND m</w:t>
      </w:r>
      <w:r w:rsidRPr="00B64662">
        <w:rPr>
          <w:iCs/>
        </w:rPr>
        <w:t>anufacturers may reference both codes in parallel</w:t>
      </w:r>
      <w:r>
        <w:rPr>
          <w:iCs/>
        </w:rPr>
        <w:t>; guidance and communication is required across stakeholders to ensure consistent implementation with clear equivalence.</w:t>
      </w:r>
    </w:p>
    <w:p w14:paraId="76DADAA4" w14:textId="56EFF4EF" w:rsidR="00FE302A" w:rsidRDefault="00FE302A" w:rsidP="00FE302A">
      <w:pPr>
        <w:numPr>
          <w:ilvl w:val="0"/>
          <w:numId w:val="12"/>
        </w:numPr>
        <w:spacing w:before="0" w:after="0"/>
        <w:rPr>
          <w:iCs/>
        </w:rPr>
      </w:pPr>
      <w:r w:rsidRPr="009A5E9A">
        <w:rPr>
          <w:iCs/>
        </w:rPr>
        <w:lastRenderedPageBreak/>
        <w:t>No recall or withdrawal of devices from the market is necessary as the change does not affect conformity status or legal placement.</w:t>
      </w:r>
    </w:p>
    <w:p w14:paraId="77AEBD21" w14:textId="77777777" w:rsidR="008828AF" w:rsidRPr="008828AF" w:rsidRDefault="008828AF" w:rsidP="007E1D2E">
      <w:pPr>
        <w:spacing w:before="0" w:after="0"/>
        <w:ind w:left="720"/>
        <w:rPr>
          <w:iCs/>
        </w:rPr>
      </w:pPr>
    </w:p>
    <w:p w14:paraId="3038F87B" w14:textId="4EC918C7" w:rsidR="00BD0123" w:rsidRPr="00BD0123" w:rsidRDefault="00FE302A" w:rsidP="007E1D2E">
      <w:pPr>
        <w:pStyle w:val="Titre2"/>
        <w:numPr>
          <w:ilvl w:val="0"/>
          <w:numId w:val="67"/>
        </w:numPr>
      </w:pPr>
      <w:r>
        <w:t>Designation and</w:t>
      </w:r>
      <w:r w:rsidR="002E2B30" w:rsidRPr="002E2B30">
        <w:t xml:space="preserve"> reassessment</w:t>
      </w:r>
    </w:p>
    <w:p w14:paraId="5DF26276" w14:textId="77777777" w:rsidR="00B67DB1" w:rsidRPr="000E3603" w:rsidRDefault="00B67DB1" w:rsidP="00B67DB1">
      <w:pPr>
        <w:numPr>
          <w:ilvl w:val="0"/>
          <w:numId w:val="19"/>
        </w:numPr>
        <w:spacing w:before="0" w:after="0"/>
        <w:rPr>
          <w:iCs/>
          <w:lang w:val="en-US"/>
        </w:rPr>
      </w:pPr>
      <w:r w:rsidRPr="000E3603">
        <w:rPr>
          <w:iCs/>
          <w:lang w:val="en-US"/>
        </w:rPr>
        <w:t>Designation process should be streamlined and shortened.</w:t>
      </w:r>
    </w:p>
    <w:p w14:paraId="36B82149" w14:textId="77777777" w:rsidR="00B67DB1" w:rsidRPr="000E3603" w:rsidRDefault="00B67DB1" w:rsidP="00B67DB1">
      <w:pPr>
        <w:numPr>
          <w:ilvl w:val="1"/>
          <w:numId w:val="19"/>
        </w:numPr>
        <w:spacing w:before="0" w:after="0"/>
        <w:rPr>
          <w:iCs/>
          <w:lang w:val="en-US"/>
        </w:rPr>
      </w:pPr>
      <w:r w:rsidRPr="000E3603">
        <w:rPr>
          <w:iCs/>
          <w:lang w:val="en-US"/>
        </w:rPr>
        <w:t>The designation process should be centrally governed to avoid time-consuming exchange of information between the involved CA/DAs and the applying NB.</w:t>
      </w:r>
    </w:p>
    <w:p w14:paraId="50E1ADE2" w14:textId="0135C871" w:rsidR="00B67DB1" w:rsidRPr="000E3603" w:rsidRDefault="00B67DB1" w:rsidP="00B67DB1">
      <w:pPr>
        <w:numPr>
          <w:ilvl w:val="1"/>
          <w:numId w:val="19"/>
        </w:numPr>
        <w:spacing w:before="0" w:after="0"/>
        <w:rPr>
          <w:iCs/>
          <w:lang w:val="en-US"/>
        </w:rPr>
      </w:pPr>
      <w:r w:rsidRPr="000E3603">
        <w:rPr>
          <w:iCs/>
          <w:lang w:val="en-US"/>
        </w:rPr>
        <w:t>The formal communication timelines (e.g. Nando publication timeline)</w:t>
      </w:r>
      <w:r w:rsidR="000C57FC">
        <w:rPr>
          <w:iCs/>
          <w:lang w:val="en-US"/>
        </w:rPr>
        <w:t>,</w:t>
      </w:r>
      <w:r w:rsidRPr="000E3603">
        <w:rPr>
          <w:iCs/>
          <w:lang w:val="en-US"/>
        </w:rPr>
        <w:t xml:space="preserve"> including the number of communication steps</w:t>
      </w:r>
      <w:r w:rsidR="000C57FC">
        <w:rPr>
          <w:iCs/>
          <w:lang w:val="en-US"/>
        </w:rPr>
        <w:t>,</w:t>
      </w:r>
      <w:r w:rsidRPr="000E3603">
        <w:rPr>
          <w:iCs/>
          <w:lang w:val="en-US"/>
        </w:rPr>
        <w:t xml:space="preserve"> should be simplified.</w:t>
      </w:r>
    </w:p>
    <w:p w14:paraId="7CD89210" w14:textId="77777777" w:rsidR="00B67DB1" w:rsidRPr="000E3603" w:rsidRDefault="00B67DB1" w:rsidP="00B67DB1">
      <w:pPr>
        <w:numPr>
          <w:ilvl w:val="1"/>
          <w:numId w:val="19"/>
        </w:numPr>
        <w:spacing w:before="0" w:after="0"/>
        <w:rPr>
          <w:iCs/>
          <w:lang w:val="en-US"/>
        </w:rPr>
      </w:pPr>
      <w:r w:rsidRPr="000E3603">
        <w:rPr>
          <w:iCs/>
          <w:lang w:val="en-US"/>
        </w:rPr>
        <w:t>Faster designation process would reduce advance financial investment by NBs.</w:t>
      </w:r>
    </w:p>
    <w:p w14:paraId="1B685D49" w14:textId="77777777" w:rsidR="00B67DB1" w:rsidRPr="000E3603" w:rsidRDefault="00B67DB1" w:rsidP="00B67DB1">
      <w:pPr>
        <w:numPr>
          <w:ilvl w:val="0"/>
          <w:numId w:val="19"/>
        </w:numPr>
        <w:spacing w:before="0" w:after="0"/>
        <w:rPr>
          <w:iCs/>
          <w:lang w:val="en-US"/>
        </w:rPr>
      </w:pPr>
      <w:r w:rsidRPr="000E3603">
        <w:rPr>
          <w:iCs/>
          <w:lang w:val="en-US"/>
        </w:rPr>
        <w:t>Scope extensions of already designated NBs (MDR Art. 46, IVDR Art. 42) should not follow the same process as the initial designation process but focus on the scope extension.</w:t>
      </w:r>
    </w:p>
    <w:p w14:paraId="0DCF7B89" w14:textId="642A2112" w:rsidR="00B67DB1" w:rsidRPr="000E3603" w:rsidRDefault="00B67DB1" w:rsidP="00B67DB1">
      <w:pPr>
        <w:numPr>
          <w:ilvl w:val="0"/>
          <w:numId w:val="19"/>
        </w:numPr>
        <w:spacing w:before="0" w:after="0"/>
        <w:rPr>
          <w:iCs/>
          <w:lang w:val="en-US"/>
        </w:rPr>
      </w:pPr>
      <w:r w:rsidRPr="000E3603">
        <w:rPr>
          <w:iCs/>
          <w:lang w:val="en-US"/>
        </w:rPr>
        <w:t>In case of cessation of NB activities, a controlled transfer of certificates is needed avoid</w:t>
      </w:r>
      <w:r w:rsidR="00641BF9">
        <w:rPr>
          <w:iCs/>
          <w:lang w:val="en-US"/>
        </w:rPr>
        <w:t>ing</w:t>
      </w:r>
      <w:r w:rsidRPr="000E3603">
        <w:rPr>
          <w:iCs/>
          <w:lang w:val="en-US"/>
        </w:rPr>
        <w:t xml:space="preserve"> the obligation of full reassessment. </w:t>
      </w:r>
    </w:p>
    <w:p w14:paraId="6BC2EB38" w14:textId="77777777" w:rsidR="00B67DB1" w:rsidRPr="000E3603" w:rsidRDefault="00B67DB1" w:rsidP="00B67DB1">
      <w:pPr>
        <w:numPr>
          <w:ilvl w:val="0"/>
          <w:numId w:val="19"/>
        </w:numPr>
        <w:spacing w:before="0" w:after="0"/>
        <w:rPr>
          <w:iCs/>
          <w:lang w:val="en-US"/>
        </w:rPr>
      </w:pPr>
      <w:r w:rsidRPr="000E3603">
        <w:rPr>
          <w:iCs/>
          <w:lang w:val="en-US"/>
        </w:rPr>
        <w:t xml:space="preserve">Clear expectations regarding Rules and review of Qualification criteria should be defined (MDR/IVDR Annex VII, NBOG 2017-2, MDCG 2019-6 Rev5).   </w:t>
      </w:r>
    </w:p>
    <w:p w14:paraId="33271236" w14:textId="77777777" w:rsidR="00B67DB1" w:rsidRDefault="00B67DB1" w:rsidP="00B67DB1"/>
    <w:p w14:paraId="7F3FA16C" w14:textId="4841D827" w:rsidR="008828AF" w:rsidRPr="00C520F6" w:rsidRDefault="008828AF" w:rsidP="007E1D2E">
      <w:pPr>
        <w:pStyle w:val="Titre2"/>
        <w:numPr>
          <w:ilvl w:val="0"/>
          <w:numId w:val="67"/>
        </w:numPr>
        <w:spacing w:before="0"/>
      </w:pPr>
      <w:r>
        <w:t>Breakthrough</w:t>
      </w:r>
    </w:p>
    <w:p w14:paraId="4720B7E7" w14:textId="31F9D68C" w:rsidR="008828AF" w:rsidRDefault="008828AF" w:rsidP="008828AF">
      <w:pPr>
        <w:spacing w:before="0" w:after="0"/>
      </w:pPr>
      <w:r>
        <w:t xml:space="preserve">A coordinated pathway should be established for products deemed to be “breakthrough”, i.e. </w:t>
      </w:r>
      <w:r w:rsidR="00AF6555">
        <w:t xml:space="preserve">novel </w:t>
      </w:r>
      <w:r>
        <w:t xml:space="preserve">devices with a clear clinical need for patients or the healthcare system. </w:t>
      </w:r>
      <w:r w:rsidR="00AF6555" w:rsidRPr="00AF6555">
        <w:t xml:space="preserve">Although such devices are relatively few, they have the potential to add a significant benefit to patient management and public health. For such devices, it is </w:t>
      </w:r>
      <w:r>
        <w:t xml:space="preserve">typically </w:t>
      </w:r>
      <w:r w:rsidR="00AF6555">
        <w:t>challenging</w:t>
      </w:r>
      <w:r>
        <w:t xml:space="preserve"> to generate robust clinical evidence due to a multitude of factors. This must be taken into consideration within this new pathway to ensure the products entering the EU market remain safe and effective, while allowing an achievable volume of supporting evidence. </w:t>
      </w:r>
    </w:p>
    <w:p w14:paraId="4D3BE292" w14:textId="77777777" w:rsidR="008828AF" w:rsidRDefault="008828AF" w:rsidP="008828AF">
      <w:pPr>
        <w:spacing w:before="0" w:after="0"/>
      </w:pPr>
    </w:p>
    <w:p w14:paraId="0D6FEA16" w14:textId="77777777" w:rsidR="008828AF" w:rsidRDefault="008828AF" w:rsidP="008828AF">
      <w:pPr>
        <w:spacing w:before="0" w:after="0"/>
      </w:pPr>
      <w:r>
        <w:lastRenderedPageBreak/>
        <w:t xml:space="preserve">NBs propose a system that involves a breakthrough designation granted by the European Commission or expert panels. This designation would allow NBs to utilise conditional certificates with defined post-market expectations for manufacturers to gather additional evidence where required. Clear guidance and oversight of the system is essential. </w:t>
      </w:r>
    </w:p>
    <w:sectPr w:rsidR="008828AF" w:rsidSect="0074566C">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CDF6" w14:textId="77777777" w:rsidR="00920AE2" w:rsidRDefault="00920AE2" w:rsidP="00156BD8">
      <w:pPr>
        <w:spacing w:before="0" w:after="0" w:line="240" w:lineRule="auto"/>
      </w:pPr>
      <w:r>
        <w:separator/>
      </w:r>
    </w:p>
  </w:endnote>
  <w:endnote w:type="continuationSeparator" w:id="0">
    <w:p w14:paraId="3904C2E8" w14:textId="77777777" w:rsidR="00920AE2" w:rsidRDefault="00920AE2" w:rsidP="00156B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CC2C" w14:textId="77777777" w:rsidR="00BA67BF" w:rsidRDefault="00BA67B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397385"/>
      <w:docPartObj>
        <w:docPartGallery w:val="Page Numbers (Bottom of Page)"/>
        <w:docPartUnique/>
      </w:docPartObj>
    </w:sdtPr>
    <w:sdtContent>
      <w:p w14:paraId="352D8F51" w14:textId="0473BB1B" w:rsidR="005D3652" w:rsidRDefault="005D3652">
        <w:pPr>
          <w:pStyle w:val="Pieddepage"/>
          <w:jc w:val="right"/>
        </w:pPr>
        <w:r>
          <w:fldChar w:fldCharType="begin"/>
        </w:r>
        <w:r>
          <w:instrText>PAGE   \* MERGEFORMAT</w:instrText>
        </w:r>
        <w:r>
          <w:fldChar w:fldCharType="separate"/>
        </w:r>
        <w:r>
          <w:rPr>
            <w:lang w:val="fr-FR"/>
          </w:rPr>
          <w:t>2</w:t>
        </w:r>
        <w:r>
          <w:fldChar w:fldCharType="end"/>
        </w:r>
      </w:p>
    </w:sdtContent>
  </w:sdt>
  <w:p w14:paraId="2006C09C" w14:textId="43D8DE09" w:rsidR="00156BD8" w:rsidRPr="00BA67BF" w:rsidRDefault="005D3652">
    <w:pPr>
      <w:pStyle w:val="Pieddepage"/>
      <w:rPr>
        <w:sz w:val="18"/>
        <w:szCs w:val="18"/>
      </w:rPr>
    </w:pPr>
    <w:r w:rsidRPr="00BA67BF">
      <w:rPr>
        <w:sz w:val="18"/>
        <w:szCs w:val="18"/>
      </w:rPr>
      <w:fldChar w:fldCharType="begin"/>
    </w:r>
    <w:r w:rsidRPr="00BA67BF">
      <w:rPr>
        <w:sz w:val="18"/>
        <w:szCs w:val="18"/>
      </w:rPr>
      <w:instrText xml:space="preserve"> FILENAME   \* MERGEFORMAT </w:instrText>
    </w:r>
    <w:r w:rsidRPr="00BA67BF">
      <w:rPr>
        <w:sz w:val="18"/>
        <w:szCs w:val="18"/>
      </w:rPr>
      <w:fldChar w:fldCharType="separate"/>
    </w:r>
    <w:r w:rsidRPr="00BA67BF">
      <w:rPr>
        <w:noProof/>
        <w:sz w:val="18"/>
        <w:szCs w:val="18"/>
      </w:rPr>
      <w:t>NBs-MDRIVDR-Call-For-Evidence-TargetedRevision-EUrules-20250106</w:t>
    </w:r>
    <w:r w:rsidRPr="00BA67BF">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8959" w14:textId="77777777" w:rsidR="00BA67BF" w:rsidRDefault="00BA67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25A54" w14:textId="77777777" w:rsidR="00920AE2" w:rsidRDefault="00920AE2" w:rsidP="00156BD8">
      <w:pPr>
        <w:spacing w:before="0" w:after="0" w:line="240" w:lineRule="auto"/>
      </w:pPr>
      <w:r>
        <w:separator/>
      </w:r>
    </w:p>
  </w:footnote>
  <w:footnote w:type="continuationSeparator" w:id="0">
    <w:p w14:paraId="345EAFA3" w14:textId="77777777" w:rsidR="00920AE2" w:rsidRDefault="00920AE2" w:rsidP="00156BD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8801" w14:textId="77777777" w:rsidR="00BA67BF" w:rsidRDefault="00BA67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F161" w14:textId="77777777" w:rsidR="00BA67BF" w:rsidRDefault="00BA67B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5EB8" w14:textId="77777777" w:rsidR="00BA67BF" w:rsidRDefault="00BA67B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89F"/>
    <w:multiLevelType w:val="hybridMultilevel"/>
    <w:tmpl w:val="BDCCC4CE"/>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0E004A"/>
    <w:multiLevelType w:val="hybridMultilevel"/>
    <w:tmpl w:val="6A98AD26"/>
    <w:lvl w:ilvl="0" w:tplc="EA509E5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F4BE3"/>
    <w:multiLevelType w:val="hybridMultilevel"/>
    <w:tmpl w:val="F79CE754"/>
    <w:lvl w:ilvl="0" w:tplc="959C09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01E6"/>
    <w:multiLevelType w:val="hybridMultilevel"/>
    <w:tmpl w:val="11368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A22C0"/>
    <w:multiLevelType w:val="multilevel"/>
    <w:tmpl w:val="CE169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F0414"/>
    <w:multiLevelType w:val="hybridMultilevel"/>
    <w:tmpl w:val="E346729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AA80EBE"/>
    <w:multiLevelType w:val="hybridMultilevel"/>
    <w:tmpl w:val="A6F2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57375"/>
    <w:multiLevelType w:val="hybridMultilevel"/>
    <w:tmpl w:val="4AE83A9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CA9655B"/>
    <w:multiLevelType w:val="hybridMultilevel"/>
    <w:tmpl w:val="277C493A"/>
    <w:lvl w:ilvl="0" w:tplc="9A28A17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0944417"/>
    <w:multiLevelType w:val="hybridMultilevel"/>
    <w:tmpl w:val="72E8981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6044A51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1DA03A3"/>
    <w:multiLevelType w:val="hybridMultilevel"/>
    <w:tmpl w:val="6F50DBA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20573C1"/>
    <w:multiLevelType w:val="hybridMultilevel"/>
    <w:tmpl w:val="E47C1C76"/>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2" w15:restartNumberingAfterBreak="0">
    <w:nsid w:val="1235242D"/>
    <w:multiLevelType w:val="hybridMultilevel"/>
    <w:tmpl w:val="2F7A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AA1911"/>
    <w:multiLevelType w:val="hybridMultilevel"/>
    <w:tmpl w:val="3466AD3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9A28A174">
      <w:start w:val="1"/>
      <w:numFmt w:val="decimal"/>
      <w:lvlText w:val="(%3)"/>
      <w:lvlJc w:val="left"/>
      <w:pPr>
        <w:ind w:left="2340" w:hanging="360"/>
      </w:pPr>
      <w:rPr>
        <w:rFonts w:hint="default"/>
      </w:rPr>
    </w:lvl>
    <w:lvl w:ilvl="3" w:tplc="EC1A5AF4">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DA413E"/>
    <w:multiLevelType w:val="hybridMultilevel"/>
    <w:tmpl w:val="4A6EB4C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183B3F49"/>
    <w:multiLevelType w:val="multilevel"/>
    <w:tmpl w:val="342C0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6D483D"/>
    <w:multiLevelType w:val="hybridMultilevel"/>
    <w:tmpl w:val="2DE04442"/>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8867922"/>
    <w:multiLevelType w:val="hybridMultilevel"/>
    <w:tmpl w:val="B05A0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BD0889"/>
    <w:multiLevelType w:val="hybridMultilevel"/>
    <w:tmpl w:val="4928E000"/>
    <w:lvl w:ilvl="0" w:tplc="6044A512">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F1228A5"/>
    <w:multiLevelType w:val="hybridMultilevel"/>
    <w:tmpl w:val="04CC88F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120706E"/>
    <w:multiLevelType w:val="hybridMultilevel"/>
    <w:tmpl w:val="607CE0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31E61FF"/>
    <w:multiLevelType w:val="hybridMultilevel"/>
    <w:tmpl w:val="75C6B9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4F74A42"/>
    <w:multiLevelType w:val="hybridMultilevel"/>
    <w:tmpl w:val="0B8A2E40"/>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58E04B0"/>
    <w:multiLevelType w:val="hybridMultilevel"/>
    <w:tmpl w:val="23D0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A13DCD"/>
    <w:multiLevelType w:val="hybridMultilevel"/>
    <w:tmpl w:val="784C853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6FC3A6C"/>
    <w:multiLevelType w:val="hybridMultilevel"/>
    <w:tmpl w:val="F7E473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281B55C8"/>
    <w:multiLevelType w:val="hybridMultilevel"/>
    <w:tmpl w:val="5030C2F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866041D"/>
    <w:multiLevelType w:val="hybridMultilevel"/>
    <w:tmpl w:val="78500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9097522"/>
    <w:multiLevelType w:val="hybridMultilevel"/>
    <w:tmpl w:val="FCC473E8"/>
    <w:lvl w:ilvl="0" w:tplc="200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BC44A8C"/>
    <w:multiLevelType w:val="hybridMultilevel"/>
    <w:tmpl w:val="5346173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BCF5D88"/>
    <w:multiLevelType w:val="hybridMultilevel"/>
    <w:tmpl w:val="003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D967F62"/>
    <w:multiLevelType w:val="hybridMultilevel"/>
    <w:tmpl w:val="67D27DF6"/>
    <w:lvl w:ilvl="0" w:tplc="9A28A17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2EE9551F"/>
    <w:multiLevelType w:val="hybridMultilevel"/>
    <w:tmpl w:val="AF76F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0A740D7"/>
    <w:multiLevelType w:val="hybridMultilevel"/>
    <w:tmpl w:val="0D7A573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2B803BC"/>
    <w:multiLevelType w:val="hybridMultilevel"/>
    <w:tmpl w:val="FD2895DE"/>
    <w:lvl w:ilvl="0" w:tplc="959C09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5552F8C"/>
    <w:multiLevelType w:val="hybridMultilevel"/>
    <w:tmpl w:val="250C8C66"/>
    <w:lvl w:ilvl="0" w:tplc="41B08A6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5780C40"/>
    <w:multiLevelType w:val="hybridMultilevel"/>
    <w:tmpl w:val="39282286"/>
    <w:lvl w:ilvl="0" w:tplc="9A28A17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7AC10A7"/>
    <w:multiLevelType w:val="hybridMultilevel"/>
    <w:tmpl w:val="3DA410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37F27F1D"/>
    <w:multiLevelType w:val="hybridMultilevel"/>
    <w:tmpl w:val="213EACB6"/>
    <w:lvl w:ilvl="0" w:tplc="20000001">
      <w:start w:val="1"/>
      <w:numFmt w:val="bullet"/>
      <w:lvlText w:val=""/>
      <w:lvlJc w:val="left"/>
      <w:pPr>
        <w:ind w:left="1080" w:hanging="360"/>
      </w:pPr>
      <w:rPr>
        <w:rFonts w:ascii="Symbol" w:hAnsi="Symbol" w:hint="default"/>
      </w:rPr>
    </w:lvl>
    <w:lvl w:ilvl="1" w:tplc="48AAFCA2">
      <w:start w:val="1"/>
      <w:numFmt w:val="bullet"/>
      <w:lvlText w:val="•"/>
      <w:lvlJc w:val="left"/>
      <w:pPr>
        <w:ind w:left="2160" w:hanging="720"/>
      </w:pPr>
      <w:rPr>
        <w:rFonts w:ascii="Arial" w:eastAsiaTheme="minorHAnsi" w:hAnsi="Arial" w:cs="Arial"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9" w15:restartNumberingAfterBreak="0">
    <w:nsid w:val="3AAB7CA4"/>
    <w:multiLevelType w:val="hybridMultilevel"/>
    <w:tmpl w:val="C67ACB8A"/>
    <w:lvl w:ilvl="0" w:tplc="6044A512">
      <w:start w:val="1"/>
      <w:numFmt w:val="lowerRoman"/>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1E6B56A">
      <w:start w:val="1"/>
      <w:numFmt w:val="bullet"/>
      <w:lvlText w:val="-"/>
      <w:lvlJc w:val="left"/>
      <w:pPr>
        <w:ind w:left="4500" w:hanging="720"/>
      </w:pPr>
      <w:rPr>
        <w:rFonts w:ascii="Arial" w:eastAsiaTheme="minorHAnsi" w:hAnsi="Arial" w:cs="Arial"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AAF79A2"/>
    <w:multiLevelType w:val="hybridMultilevel"/>
    <w:tmpl w:val="1F04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BE02E38"/>
    <w:multiLevelType w:val="hybridMultilevel"/>
    <w:tmpl w:val="EE1E8C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3D4415C2"/>
    <w:multiLevelType w:val="hybridMultilevel"/>
    <w:tmpl w:val="E232413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EEE77F1"/>
    <w:multiLevelType w:val="hybridMultilevel"/>
    <w:tmpl w:val="6B06206E"/>
    <w:lvl w:ilvl="0" w:tplc="FFFFFFFF">
      <w:start w:val="1"/>
      <w:numFmt w:val="lowerLetter"/>
      <w:lvlText w:val="%1)"/>
      <w:lvlJc w:val="left"/>
      <w:pPr>
        <w:ind w:left="720" w:hanging="360"/>
      </w:pPr>
    </w:lvl>
    <w:lvl w:ilvl="1" w:tplc="2000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F4E531A"/>
    <w:multiLevelType w:val="hybridMultilevel"/>
    <w:tmpl w:val="A97C8BFC"/>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0D55EC7"/>
    <w:multiLevelType w:val="hybridMultilevel"/>
    <w:tmpl w:val="10084334"/>
    <w:lvl w:ilvl="0" w:tplc="BFA843F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4E0370"/>
    <w:multiLevelType w:val="hybridMultilevel"/>
    <w:tmpl w:val="9CC22DF8"/>
    <w:lvl w:ilvl="0" w:tplc="959C098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18662BA"/>
    <w:multiLevelType w:val="hybridMultilevel"/>
    <w:tmpl w:val="76BC99C4"/>
    <w:lvl w:ilvl="0" w:tplc="EEBE8DAA">
      <w:start w:val="5"/>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3FE2D3F"/>
    <w:multiLevelType w:val="hybridMultilevel"/>
    <w:tmpl w:val="EDFA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8061D7"/>
    <w:multiLevelType w:val="hybridMultilevel"/>
    <w:tmpl w:val="A6049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1D69B7"/>
    <w:multiLevelType w:val="hybridMultilevel"/>
    <w:tmpl w:val="B41E6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B16BC4"/>
    <w:multiLevelType w:val="hybridMultilevel"/>
    <w:tmpl w:val="F91C469E"/>
    <w:lvl w:ilvl="0" w:tplc="959C09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D6A64AC"/>
    <w:multiLevelType w:val="hybridMultilevel"/>
    <w:tmpl w:val="EE06EA86"/>
    <w:lvl w:ilvl="0" w:tplc="BC82823E">
      <w:start w:val="1"/>
      <w:numFmt w:val="bullet"/>
      <w:lvlText w:val=""/>
      <w:lvlJc w:val="left"/>
      <w:pPr>
        <w:ind w:left="720" w:hanging="360"/>
      </w:pPr>
      <w:rPr>
        <w:rFonts w:ascii="Symbol" w:hAnsi="Symbol" w:hint="default"/>
      </w:rPr>
    </w:lvl>
    <w:lvl w:ilvl="1" w:tplc="271CBE8C">
      <w:start w:val="1"/>
      <w:numFmt w:val="bullet"/>
      <w:lvlText w:val="o"/>
      <w:lvlJc w:val="left"/>
      <w:pPr>
        <w:ind w:left="1440" w:hanging="360"/>
      </w:pPr>
      <w:rPr>
        <w:rFonts w:ascii="Courier New" w:hAnsi="Courier New" w:hint="default"/>
      </w:rPr>
    </w:lvl>
    <w:lvl w:ilvl="2" w:tplc="77A80730">
      <w:start w:val="1"/>
      <w:numFmt w:val="bullet"/>
      <w:lvlText w:val=""/>
      <w:lvlJc w:val="left"/>
      <w:pPr>
        <w:ind w:left="2160" w:hanging="360"/>
      </w:pPr>
      <w:rPr>
        <w:rFonts w:ascii="Wingdings" w:hAnsi="Wingdings" w:hint="default"/>
      </w:rPr>
    </w:lvl>
    <w:lvl w:ilvl="3" w:tplc="11CADE3E">
      <w:start w:val="1"/>
      <w:numFmt w:val="bullet"/>
      <w:lvlText w:val=""/>
      <w:lvlJc w:val="left"/>
      <w:pPr>
        <w:ind w:left="2880" w:hanging="360"/>
      </w:pPr>
      <w:rPr>
        <w:rFonts w:ascii="Symbol" w:hAnsi="Symbol" w:hint="default"/>
      </w:rPr>
    </w:lvl>
    <w:lvl w:ilvl="4" w:tplc="8A24FA94">
      <w:start w:val="1"/>
      <w:numFmt w:val="bullet"/>
      <w:lvlText w:val="o"/>
      <w:lvlJc w:val="left"/>
      <w:pPr>
        <w:ind w:left="3600" w:hanging="360"/>
      </w:pPr>
      <w:rPr>
        <w:rFonts w:ascii="Courier New" w:hAnsi="Courier New" w:hint="default"/>
      </w:rPr>
    </w:lvl>
    <w:lvl w:ilvl="5" w:tplc="8C78393A">
      <w:start w:val="1"/>
      <w:numFmt w:val="bullet"/>
      <w:lvlText w:val=""/>
      <w:lvlJc w:val="left"/>
      <w:pPr>
        <w:ind w:left="4320" w:hanging="360"/>
      </w:pPr>
      <w:rPr>
        <w:rFonts w:ascii="Wingdings" w:hAnsi="Wingdings" w:hint="default"/>
      </w:rPr>
    </w:lvl>
    <w:lvl w:ilvl="6" w:tplc="F0A21D7C">
      <w:start w:val="1"/>
      <w:numFmt w:val="bullet"/>
      <w:lvlText w:val=""/>
      <w:lvlJc w:val="left"/>
      <w:pPr>
        <w:ind w:left="5040" w:hanging="360"/>
      </w:pPr>
      <w:rPr>
        <w:rFonts w:ascii="Symbol" w:hAnsi="Symbol" w:hint="default"/>
      </w:rPr>
    </w:lvl>
    <w:lvl w:ilvl="7" w:tplc="9EA25244">
      <w:start w:val="1"/>
      <w:numFmt w:val="bullet"/>
      <w:lvlText w:val="o"/>
      <w:lvlJc w:val="left"/>
      <w:pPr>
        <w:ind w:left="5760" w:hanging="360"/>
      </w:pPr>
      <w:rPr>
        <w:rFonts w:ascii="Courier New" w:hAnsi="Courier New" w:hint="default"/>
      </w:rPr>
    </w:lvl>
    <w:lvl w:ilvl="8" w:tplc="67FE126C">
      <w:start w:val="1"/>
      <w:numFmt w:val="bullet"/>
      <w:lvlText w:val=""/>
      <w:lvlJc w:val="left"/>
      <w:pPr>
        <w:ind w:left="6480" w:hanging="360"/>
      </w:pPr>
      <w:rPr>
        <w:rFonts w:ascii="Wingdings" w:hAnsi="Wingdings" w:hint="default"/>
      </w:rPr>
    </w:lvl>
  </w:abstractNum>
  <w:abstractNum w:abstractNumId="53" w15:restartNumberingAfterBreak="0">
    <w:nsid w:val="4EC35F0C"/>
    <w:multiLevelType w:val="hybridMultilevel"/>
    <w:tmpl w:val="349836C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4" w15:restartNumberingAfterBreak="0">
    <w:nsid w:val="5058735E"/>
    <w:multiLevelType w:val="hybridMultilevel"/>
    <w:tmpl w:val="5720EA6E"/>
    <w:lvl w:ilvl="0" w:tplc="C95C84A4">
      <w:start w:val="14"/>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06445D2"/>
    <w:multiLevelType w:val="hybridMultilevel"/>
    <w:tmpl w:val="E8A256C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6" w15:restartNumberingAfterBreak="0">
    <w:nsid w:val="57BC0168"/>
    <w:multiLevelType w:val="hybridMultilevel"/>
    <w:tmpl w:val="30EE9CF0"/>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8921A31"/>
    <w:multiLevelType w:val="hybridMultilevel"/>
    <w:tmpl w:val="DA94F5B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99B5E46"/>
    <w:multiLevelType w:val="hybridMultilevel"/>
    <w:tmpl w:val="2046678E"/>
    <w:lvl w:ilvl="0" w:tplc="200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DC76587"/>
    <w:multiLevelType w:val="hybridMultilevel"/>
    <w:tmpl w:val="59245066"/>
    <w:lvl w:ilvl="0" w:tplc="959C09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216F69"/>
    <w:multiLevelType w:val="hybridMultilevel"/>
    <w:tmpl w:val="A67E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207174"/>
    <w:multiLevelType w:val="hybridMultilevel"/>
    <w:tmpl w:val="9DC05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2A42A8"/>
    <w:multiLevelType w:val="hybridMultilevel"/>
    <w:tmpl w:val="C010C33C"/>
    <w:lvl w:ilvl="0" w:tplc="04090001">
      <w:start w:val="1"/>
      <w:numFmt w:val="bullet"/>
      <w:lvlText w:val=""/>
      <w:lvlJc w:val="left"/>
      <w:pPr>
        <w:ind w:left="1081" w:hanging="361"/>
      </w:pPr>
      <w:rPr>
        <w:rFonts w:ascii="Symbol" w:hAnsi="Symbol" w:hint="default"/>
        <w:b w:val="0"/>
        <w:bCs w:val="0"/>
        <w:i w:val="0"/>
        <w:iCs w:val="0"/>
        <w:spacing w:val="0"/>
        <w:w w:val="101"/>
        <w:sz w:val="22"/>
        <w:szCs w:val="22"/>
        <w:lang w:val="en-US" w:eastAsia="en-US" w:bidi="ar-SA"/>
      </w:rPr>
    </w:lvl>
    <w:lvl w:ilvl="1" w:tplc="763EB942">
      <w:numFmt w:val="bullet"/>
      <w:lvlText w:val="o"/>
      <w:lvlJc w:val="left"/>
      <w:pPr>
        <w:ind w:left="1802" w:hanging="361"/>
      </w:pPr>
      <w:rPr>
        <w:rFonts w:ascii="Courier New" w:eastAsia="Courier New" w:hAnsi="Courier New" w:cs="Courier New" w:hint="default"/>
        <w:b w:val="0"/>
        <w:bCs w:val="0"/>
        <w:i w:val="0"/>
        <w:iCs w:val="0"/>
        <w:spacing w:val="0"/>
        <w:w w:val="101"/>
        <w:sz w:val="22"/>
        <w:szCs w:val="22"/>
        <w:lang w:val="en-US" w:eastAsia="en-US" w:bidi="ar-SA"/>
      </w:rPr>
    </w:lvl>
    <w:lvl w:ilvl="2" w:tplc="AC28F38C">
      <w:numFmt w:val="bullet"/>
      <w:lvlText w:val="•"/>
      <w:lvlJc w:val="left"/>
      <w:pPr>
        <w:ind w:left="2139" w:hanging="361"/>
      </w:pPr>
      <w:rPr>
        <w:rFonts w:hint="default"/>
        <w:lang w:val="en-US" w:eastAsia="en-US" w:bidi="ar-SA"/>
      </w:rPr>
    </w:lvl>
    <w:lvl w:ilvl="3" w:tplc="DF78A87E">
      <w:numFmt w:val="bullet"/>
      <w:lvlText w:val="•"/>
      <w:lvlJc w:val="left"/>
      <w:pPr>
        <w:ind w:left="3068" w:hanging="361"/>
      </w:pPr>
      <w:rPr>
        <w:rFonts w:hint="default"/>
        <w:lang w:val="en-US" w:eastAsia="en-US" w:bidi="ar-SA"/>
      </w:rPr>
    </w:lvl>
    <w:lvl w:ilvl="4" w:tplc="5CF6A89C">
      <w:numFmt w:val="bullet"/>
      <w:lvlText w:val="•"/>
      <w:lvlJc w:val="left"/>
      <w:pPr>
        <w:ind w:left="3998" w:hanging="361"/>
      </w:pPr>
      <w:rPr>
        <w:rFonts w:hint="default"/>
        <w:lang w:val="en-US" w:eastAsia="en-US" w:bidi="ar-SA"/>
      </w:rPr>
    </w:lvl>
    <w:lvl w:ilvl="5" w:tplc="1BD0709E">
      <w:numFmt w:val="bullet"/>
      <w:lvlText w:val="•"/>
      <w:lvlJc w:val="left"/>
      <w:pPr>
        <w:ind w:left="4927" w:hanging="361"/>
      </w:pPr>
      <w:rPr>
        <w:rFonts w:hint="default"/>
        <w:lang w:val="en-US" w:eastAsia="en-US" w:bidi="ar-SA"/>
      </w:rPr>
    </w:lvl>
    <w:lvl w:ilvl="6" w:tplc="D62CD80E">
      <w:numFmt w:val="bullet"/>
      <w:lvlText w:val="•"/>
      <w:lvlJc w:val="left"/>
      <w:pPr>
        <w:ind w:left="5857" w:hanging="361"/>
      </w:pPr>
      <w:rPr>
        <w:rFonts w:hint="default"/>
        <w:lang w:val="en-US" w:eastAsia="en-US" w:bidi="ar-SA"/>
      </w:rPr>
    </w:lvl>
    <w:lvl w:ilvl="7" w:tplc="27D6981C">
      <w:numFmt w:val="bullet"/>
      <w:lvlText w:val="•"/>
      <w:lvlJc w:val="left"/>
      <w:pPr>
        <w:ind w:left="6787" w:hanging="361"/>
      </w:pPr>
      <w:rPr>
        <w:rFonts w:hint="default"/>
        <w:lang w:val="en-US" w:eastAsia="en-US" w:bidi="ar-SA"/>
      </w:rPr>
    </w:lvl>
    <w:lvl w:ilvl="8" w:tplc="EBF60530">
      <w:numFmt w:val="bullet"/>
      <w:lvlText w:val="•"/>
      <w:lvlJc w:val="left"/>
      <w:pPr>
        <w:ind w:left="7716" w:hanging="361"/>
      </w:pPr>
      <w:rPr>
        <w:rFonts w:hint="default"/>
        <w:lang w:val="en-US" w:eastAsia="en-US" w:bidi="ar-SA"/>
      </w:rPr>
    </w:lvl>
  </w:abstractNum>
  <w:abstractNum w:abstractNumId="63" w15:restartNumberingAfterBreak="0">
    <w:nsid w:val="62F04E46"/>
    <w:multiLevelType w:val="hybridMultilevel"/>
    <w:tmpl w:val="17C2B096"/>
    <w:lvl w:ilvl="0" w:tplc="07F0E8AE">
      <w:start w:val="1"/>
      <w:numFmt w:val="bullet"/>
      <w:lvlText w:val=""/>
      <w:lvlJc w:val="left"/>
      <w:pPr>
        <w:ind w:left="720" w:hanging="360"/>
      </w:pPr>
      <w:rPr>
        <w:rFonts w:ascii="Symbol" w:hAnsi="Symbol" w:hint="default"/>
      </w:rPr>
    </w:lvl>
    <w:lvl w:ilvl="1" w:tplc="F5AA1D70">
      <w:start w:val="1"/>
      <w:numFmt w:val="bullet"/>
      <w:lvlText w:val="o"/>
      <w:lvlJc w:val="left"/>
      <w:pPr>
        <w:ind w:left="1440" w:hanging="360"/>
      </w:pPr>
      <w:rPr>
        <w:rFonts w:ascii="Courier New" w:hAnsi="Courier New" w:hint="default"/>
      </w:rPr>
    </w:lvl>
    <w:lvl w:ilvl="2" w:tplc="C226A848">
      <w:start w:val="1"/>
      <w:numFmt w:val="bullet"/>
      <w:lvlText w:val=""/>
      <w:lvlJc w:val="left"/>
      <w:pPr>
        <w:ind w:left="2160" w:hanging="360"/>
      </w:pPr>
      <w:rPr>
        <w:rFonts w:ascii="Wingdings" w:hAnsi="Wingdings" w:hint="default"/>
      </w:rPr>
    </w:lvl>
    <w:lvl w:ilvl="3" w:tplc="490E2202">
      <w:start w:val="1"/>
      <w:numFmt w:val="bullet"/>
      <w:lvlText w:val=""/>
      <w:lvlJc w:val="left"/>
      <w:pPr>
        <w:ind w:left="2880" w:hanging="360"/>
      </w:pPr>
      <w:rPr>
        <w:rFonts w:ascii="Symbol" w:hAnsi="Symbol" w:hint="default"/>
      </w:rPr>
    </w:lvl>
    <w:lvl w:ilvl="4" w:tplc="ECB68440">
      <w:start w:val="1"/>
      <w:numFmt w:val="bullet"/>
      <w:lvlText w:val="o"/>
      <w:lvlJc w:val="left"/>
      <w:pPr>
        <w:ind w:left="3600" w:hanging="360"/>
      </w:pPr>
      <w:rPr>
        <w:rFonts w:ascii="Courier New" w:hAnsi="Courier New" w:hint="default"/>
      </w:rPr>
    </w:lvl>
    <w:lvl w:ilvl="5" w:tplc="30E41198">
      <w:start w:val="1"/>
      <w:numFmt w:val="bullet"/>
      <w:lvlText w:val=""/>
      <w:lvlJc w:val="left"/>
      <w:pPr>
        <w:ind w:left="4320" w:hanging="360"/>
      </w:pPr>
      <w:rPr>
        <w:rFonts w:ascii="Wingdings" w:hAnsi="Wingdings" w:hint="default"/>
      </w:rPr>
    </w:lvl>
    <w:lvl w:ilvl="6" w:tplc="33C21966">
      <w:start w:val="1"/>
      <w:numFmt w:val="bullet"/>
      <w:lvlText w:val=""/>
      <w:lvlJc w:val="left"/>
      <w:pPr>
        <w:ind w:left="5040" w:hanging="360"/>
      </w:pPr>
      <w:rPr>
        <w:rFonts w:ascii="Symbol" w:hAnsi="Symbol" w:hint="default"/>
      </w:rPr>
    </w:lvl>
    <w:lvl w:ilvl="7" w:tplc="C9D8DACC">
      <w:start w:val="1"/>
      <w:numFmt w:val="bullet"/>
      <w:lvlText w:val="o"/>
      <w:lvlJc w:val="left"/>
      <w:pPr>
        <w:ind w:left="5760" w:hanging="360"/>
      </w:pPr>
      <w:rPr>
        <w:rFonts w:ascii="Courier New" w:hAnsi="Courier New" w:hint="default"/>
      </w:rPr>
    </w:lvl>
    <w:lvl w:ilvl="8" w:tplc="7564E3E8">
      <w:start w:val="1"/>
      <w:numFmt w:val="bullet"/>
      <w:lvlText w:val=""/>
      <w:lvlJc w:val="left"/>
      <w:pPr>
        <w:ind w:left="6480" w:hanging="360"/>
      </w:pPr>
      <w:rPr>
        <w:rFonts w:ascii="Wingdings" w:hAnsi="Wingdings" w:hint="default"/>
      </w:rPr>
    </w:lvl>
  </w:abstractNum>
  <w:abstractNum w:abstractNumId="64" w15:restartNumberingAfterBreak="0">
    <w:nsid w:val="646F35CF"/>
    <w:multiLevelType w:val="hybridMultilevel"/>
    <w:tmpl w:val="EE4EE42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D0D67DE"/>
    <w:multiLevelType w:val="hybridMultilevel"/>
    <w:tmpl w:val="5BB0F0DC"/>
    <w:lvl w:ilvl="0" w:tplc="238E7E9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D214795"/>
    <w:multiLevelType w:val="hybridMultilevel"/>
    <w:tmpl w:val="BFFA4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0DC752C"/>
    <w:multiLevelType w:val="hybridMultilevel"/>
    <w:tmpl w:val="FA3EDD68"/>
    <w:lvl w:ilvl="0" w:tplc="959C09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39E4F0F"/>
    <w:multiLevelType w:val="hybridMultilevel"/>
    <w:tmpl w:val="6D84C8D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74E24732"/>
    <w:multiLevelType w:val="hybridMultilevel"/>
    <w:tmpl w:val="13BC6170"/>
    <w:lvl w:ilvl="0" w:tplc="7EB0AAA6">
      <w:numFmt w:val="bullet"/>
      <w:lvlText w:val=""/>
      <w:lvlJc w:val="left"/>
      <w:pPr>
        <w:ind w:left="360" w:firstLine="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76657D8"/>
    <w:multiLevelType w:val="hybridMultilevel"/>
    <w:tmpl w:val="7B1E943E"/>
    <w:lvl w:ilvl="0" w:tplc="959C09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7B2352C"/>
    <w:multiLevelType w:val="hybridMultilevel"/>
    <w:tmpl w:val="0BC6FE0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77B6457F"/>
    <w:multiLevelType w:val="hybridMultilevel"/>
    <w:tmpl w:val="2B9C7122"/>
    <w:lvl w:ilvl="0" w:tplc="B4A0F3B0">
      <w:start w:val="1"/>
      <w:numFmt w:val="decimal"/>
      <w:lvlText w:val="%1."/>
      <w:lvlJc w:val="left"/>
      <w:pPr>
        <w:ind w:left="360" w:hanging="360"/>
      </w:pPr>
    </w:lvl>
    <w:lvl w:ilvl="1" w:tplc="430EE9C8">
      <w:start w:val="1"/>
      <w:numFmt w:val="lowerLetter"/>
      <w:lvlText w:val="%2."/>
      <w:lvlJc w:val="left"/>
      <w:pPr>
        <w:ind w:left="1080" w:hanging="360"/>
      </w:pPr>
    </w:lvl>
    <w:lvl w:ilvl="2" w:tplc="2D986BD6">
      <w:start w:val="1"/>
      <w:numFmt w:val="lowerRoman"/>
      <w:lvlText w:val="%3."/>
      <w:lvlJc w:val="right"/>
      <w:pPr>
        <w:ind w:left="1800" w:hanging="180"/>
      </w:pPr>
    </w:lvl>
    <w:lvl w:ilvl="3" w:tplc="4FD4EB76">
      <w:start w:val="1"/>
      <w:numFmt w:val="decimal"/>
      <w:lvlText w:val="%4."/>
      <w:lvlJc w:val="left"/>
      <w:pPr>
        <w:ind w:left="2520" w:hanging="360"/>
      </w:pPr>
    </w:lvl>
    <w:lvl w:ilvl="4" w:tplc="CD025CDC">
      <w:start w:val="1"/>
      <w:numFmt w:val="lowerLetter"/>
      <w:lvlText w:val="%5."/>
      <w:lvlJc w:val="left"/>
      <w:pPr>
        <w:ind w:left="3240" w:hanging="360"/>
      </w:pPr>
    </w:lvl>
    <w:lvl w:ilvl="5" w:tplc="C9AC8264">
      <w:start w:val="1"/>
      <w:numFmt w:val="lowerRoman"/>
      <w:lvlText w:val="%6."/>
      <w:lvlJc w:val="right"/>
      <w:pPr>
        <w:ind w:left="3960" w:hanging="180"/>
      </w:pPr>
    </w:lvl>
    <w:lvl w:ilvl="6" w:tplc="DF1A8228">
      <w:start w:val="1"/>
      <w:numFmt w:val="decimal"/>
      <w:lvlText w:val="%7."/>
      <w:lvlJc w:val="left"/>
      <w:pPr>
        <w:ind w:left="4680" w:hanging="360"/>
      </w:pPr>
    </w:lvl>
    <w:lvl w:ilvl="7" w:tplc="9BBA972E">
      <w:start w:val="1"/>
      <w:numFmt w:val="lowerLetter"/>
      <w:lvlText w:val="%8."/>
      <w:lvlJc w:val="left"/>
      <w:pPr>
        <w:ind w:left="5400" w:hanging="360"/>
      </w:pPr>
    </w:lvl>
    <w:lvl w:ilvl="8" w:tplc="44F4BF9C">
      <w:start w:val="1"/>
      <w:numFmt w:val="lowerRoman"/>
      <w:lvlText w:val="%9."/>
      <w:lvlJc w:val="right"/>
      <w:pPr>
        <w:ind w:left="6120" w:hanging="180"/>
      </w:pPr>
    </w:lvl>
  </w:abstractNum>
  <w:abstractNum w:abstractNumId="73" w15:restartNumberingAfterBreak="0">
    <w:nsid w:val="79184E20"/>
    <w:multiLevelType w:val="multilevel"/>
    <w:tmpl w:val="ACA6D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9660BAA"/>
    <w:multiLevelType w:val="hybridMultilevel"/>
    <w:tmpl w:val="4C34CB96"/>
    <w:lvl w:ilvl="0" w:tplc="BCC0B85E">
      <w:start w:val="6"/>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9C26953"/>
    <w:multiLevelType w:val="hybridMultilevel"/>
    <w:tmpl w:val="3466AD38"/>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FFFFFFFF">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79D22D44"/>
    <w:multiLevelType w:val="hybridMultilevel"/>
    <w:tmpl w:val="ABC2D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CA47B56"/>
    <w:multiLevelType w:val="hybridMultilevel"/>
    <w:tmpl w:val="A9E41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0E06FE"/>
    <w:multiLevelType w:val="hybridMultilevel"/>
    <w:tmpl w:val="1B366DBC"/>
    <w:lvl w:ilvl="0" w:tplc="0809000F">
      <w:start w:val="1"/>
      <w:numFmt w:val="decimal"/>
      <w:lvlText w:val="%1."/>
      <w:lvlJc w:val="left"/>
      <w:pPr>
        <w:ind w:left="360" w:hanging="360"/>
      </w:pPr>
    </w:lvl>
    <w:lvl w:ilvl="1" w:tplc="5D82BA56">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59825917">
    <w:abstractNumId w:val="11"/>
  </w:num>
  <w:num w:numId="2" w16cid:durableId="1521550781">
    <w:abstractNumId w:val="55"/>
  </w:num>
  <w:num w:numId="3" w16cid:durableId="1306623810">
    <w:abstractNumId w:val="53"/>
  </w:num>
  <w:num w:numId="4" w16cid:durableId="496270571">
    <w:abstractNumId w:val="14"/>
  </w:num>
  <w:num w:numId="5" w16cid:durableId="1247689109">
    <w:abstractNumId w:val="38"/>
  </w:num>
  <w:num w:numId="6" w16cid:durableId="443422492">
    <w:abstractNumId w:val="44"/>
  </w:num>
  <w:num w:numId="7" w16cid:durableId="1458797620">
    <w:abstractNumId w:val="37"/>
  </w:num>
  <w:num w:numId="8" w16cid:durableId="770246810">
    <w:abstractNumId w:val="24"/>
  </w:num>
  <w:num w:numId="9" w16cid:durableId="1998338608">
    <w:abstractNumId w:val="41"/>
  </w:num>
  <w:num w:numId="10" w16cid:durableId="1207524830">
    <w:abstractNumId w:val="61"/>
  </w:num>
  <w:num w:numId="11" w16cid:durableId="432940187">
    <w:abstractNumId w:val="6"/>
  </w:num>
  <w:num w:numId="12" w16cid:durableId="732771477">
    <w:abstractNumId w:val="76"/>
  </w:num>
  <w:num w:numId="13" w16cid:durableId="973367055">
    <w:abstractNumId w:val="77"/>
  </w:num>
  <w:num w:numId="14" w16cid:durableId="594439499">
    <w:abstractNumId w:val="12"/>
  </w:num>
  <w:num w:numId="15" w16cid:durableId="144590803">
    <w:abstractNumId w:val="23"/>
  </w:num>
  <w:num w:numId="16" w16cid:durableId="1778208344">
    <w:abstractNumId w:val="48"/>
  </w:num>
  <w:num w:numId="17" w16cid:durableId="1439369294">
    <w:abstractNumId w:val="50"/>
  </w:num>
  <w:num w:numId="18" w16cid:durableId="137843719">
    <w:abstractNumId w:val="60"/>
  </w:num>
  <w:num w:numId="19" w16cid:durableId="2129426127">
    <w:abstractNumId w:val="21"/>
  </w:num>
  <w:num w:numId="20" w16cid:durableId="282930763">
    <w:abstractNumId w:val="25"/>
  </w:num>
  <w:num w:numId="21" w16cid:durableId="2092313564">
    <w:abstractNumId w:val="62"/>
  </w:num>
  <w:num w:numId="22" w16cid:durableId="583880795">
    <w:abstractNumId w:val="5"/>
  </w:num>
  <w:num w:numId="23" w16cid:durableId="294606183">
    <w:abstractNumId w:val="7"/>
  </w:num>
  <w:num w:numId="24" w16cid:durableId="1366366960">
    <w:abstractNumId w:val="13"/>
  </w:num>
  <w:num w:numId="25" w16cid:durableId="904412775">
    <w:abstractNumId w:val="43"/>
  </w:num>
  <w:num w:numId="26" w16cid:durableId="344745433">
    <w:abstractNumId w:val="68"/>
  </w:num>
  <w:num w:numId="27" w16cid:durableId="434254801">
    <w:abstractNumId w:val="19"/>
  </w:num>
  <w:num w:numId="28" w16cid:durableId="1881475899">
    <w:abstractNumId w:val="16"/>
  </w:num>
  <w:num w:numId="29" w16cid:durableId="1076584595">
    <w:abstractNumId w:val="36"/>
  </w:num>
  <w:num w:numId="30" w16cid:durableId="1376660656">
    <w:abstractNumId w:val="8"/>
  </w:num>
  <w:num w:numId="31" w16cid:durableId="2128157508">
    <w:abstractNumId w:val="31"/>
  </w:num>
  <w:num w:numId="32" w16cid:durableId="1918854324">
    <w:abstractNumId w:val="9"/>
  </w:num>
  <w:num w:numId="33" w16cid:durableId="1983922340">
    <w:abstractNumId w:val="39"/>
  </w:num>
  <w:num w:numId="34" w16cid:durableId="1328244419">
    <w:abstractNumId w:val="0"/>
  </w:num>
  <w:num w:numId="35" w16cid:durableId="1760524001">
    <w:abstractNumId w:val="75"/>
  </w:num>
  <w:num w:numId="36" w16cid:durableId="479617775">
    <w:abstractNumId w:val="26"/>
  </w:num>
  <w:num w:numId="37" w16cid:durableId="2017803978">
    <w:abstractNumId w:val="18"/>
  </w:num>
  <w:num w:numId="38" w16cid:durableId="1612475159">
    <w:abstractNumId w:val="33"/>
  </w:num>
  <w:num w:numId="39" w16cid:durableId="1648631148">
    <w:abstractNumId w:val="71"/>
  </w:num>
  <w:num w:numId="40" w16cid:durableId="255066814">
    <w:abstractNumId w:val="54"/>
  </w:num>
  <w:num w:numId="41" w16cid:durableId="683946205">
    <w:abstractNumId w:val="47"/>
  </w:num>
  <w:num w:numId="42" w16cid:durableId="1212307367">
    <w:abstractNumId w:val="74"/>
  </w:num>
  <w:num w:numId="43" w16cid:durableId="1140458022">
    <w:abstractNumId w:val="72"/>
  </w:num>
  <w:num w:numId="44" w16cid:durableId="1130974865">
    <w:abstractNumId w:val="56"/>
  </w:num>
  <w:num w:numId="45" w16cid:durableId="2016683152">
    <w:abstractNumId w:val="57"/>
  </w:num>
  <w:num w:numId="46" w16cid:durableId="1671761865">
    <w:abstractNumId w:val="42"/>
  </w:num>
  <w:num w:numId="47" w16cid:durableId="1286503444">
    <w:abstractNumId w:val="64"/>
  </w:num>
  <w:num w:numId="48" w16cid:durableId="1574007674">
    <w:abstractNumId w:val="52"/>
  </w:num>
  <w:num w:numId="49" w16cid:durableId="1369145240">
    <w:abstractNumId w:val="63"/>
  </w:num>
  <w:num w:numId="50" w16cid:durableId="1828745454">
    <w:abstractNumId w:val="29"/>
  </w:num>
  <w:num w:numId="51" w16cid:durableId="1772554294">
    <w:abstractNumId w:val="22"/>
  </w:num>
  <w:num w:numId="52" w16cid:durableId="459156936">
    <w:abstractNumId w:val="10"/>
  </w:num>
  <w:num w:numId="53" w16cid:durableId="2021926992">
    <w:abstractNumId w:val="15"/>
  </w:num>
  <w:num w:numId="54" w16cid:durableId="98843056">
    <w:abstractNumId w:val="73"/>
  </w:num>
  <w:num w:numId="55" w16cid:durableId="2061857617">
    <w:abstractNumId w:val="40"/>
  </w:num>
  <w:num w:numId="56" w16cid:durableId="1472944708">
    <w:abstractNumId w:val="32"/>
  </w:num>
  <w:num w:numId="57" w16cid:durableId="1850178011">
    <w:abstractNumId w:val="4"/>
  </w:num>
  <w:num w:numId="58" w16cid:durableId="1154026543">
    <w:abstractNumId w:val="30"/>
  </w:num>
  <w:num w:numId="59" w16cid:durableId="1573003752">
    <w:abstractNumId w:val="78"/>
  </w:num>
  <w:num w:numId="60" w16cid:durableId="586382615">
    <w:abstractNumId w:val="20"/>
  </w:num>
  <w:num w:numId="61" w16cid:durableId="671251988">
    <w:abstractNumId w:val="27"/>
  </w:num>
  <w:num w:numId="62" w16cid:durableId="1987584708">
    <w:abstractNumId w:val="45"/>
  </w:num>
  <w:num w:numId="63" w16cid:durableId="579758048">
    <w:abstractNumId w:val="69"/>
  </w:num>
  <w:num w:numId="64" w16cid:durableId="97409685">
    <w:abstractNumId w:val="70"/>
  </w:num>
  <w:num w:numId="65" w16cid:durableId="1516965305">
    <w:abstractNumId w:val="35"/>
  </w:num>
  <w:num w:numId="66" w16cid:durableId="2053309486">
    <w:abstractNumId w:val="1"/>
  </w:num>
  <w:num w:numId="67" w16cid:durableId="1677802296">
    <w:abstractNumId w:val="65"/>
  </w:num>
  <w:num w:numId="68" w16cid:durableId="1870217298">
    <w:abstractNumId w:val="51"/>
  </w:num>
  <w:num w:numId="69" w16cid:durableId="119542361">
    <w:abstractNumId w:val="2"/>
  </w:num>
  <w:num w:numId="70" w16cid:durableId="656230136">
    <w:abstractNumId w:val="59"/>
  </w:num>
  <w:num w:numId="71" w16cid:durableId="688146594">
    <w:abstractNumId w:val="34"/>
  </w:num>
  <w:num w:numId="72" w16cid:durableId="1310673684">
    <w:abstractNumId w:val="67"/>
  </w:num>
  <w:num w:numId="73" w16cid:durableId="792599826">
    <w:abstractNumId w:val="66"/>
  </w:num>
  <w:num w:numId="74" w16cid:durableId="2030524987">
    <w:abstractNumId w:val="49"/>
  </w:num>
  <w:num w:numId="75" w16cid:durableId="611324565">
    <w:abstractNumId w:val="3"/>
  </w:num>
  <w:num w:numId="76" w16cid:durableId="40834986">
    <w:abstractNumId w:val="17"/>
  </w:num>
  <w:num w:numId="77" w16cid:durableId="1830828088">
    <w:abstractNumId w:val="28"/>
  </w:num>
  <w:num w:numId="78" w16cid:durableId="132258138">
    <w:abstractNumId w:val="46"/>
  </w:num>
  <w:num w:numId="79" w16cid:durableId="1371802354">
    <w:abstractNumId w:val="5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2B"/>
    <w:rsid w:val="0000152B"/>
    <w:rsid w:val="0000249E"/>
    <w:rsid w:val="00004E89"/>
    <w:rsid w:val="00011943"/>
    <w:rsid w:val="00015A9C"/>
    <w:rsid w:val="00023905"/>
    <w:rsid w:val="00050EF8"/>
    <w:rsid w:val="000550DD"/>
    <w:rsid w:val="000604D9"/>
    <w:rsid w:val="00060A95"/>
    <w:rsid w:val="0007463E"/>
    <w:rsid w:val="0007541E"/>
    <w:rsid w:val="00086498"/>
    <w:rsid w:val="00094F02"/>
    <w:rsid w:val="00097420"/>
    <w:rsid w:val="000A2291"/>
    <w:rsid w:val="000A36A0"/>
    <w:rsid w:val="000B631C"/>
    <w:rsid w:val="000C3574"/>
    <w:rsid w:val="000C57FC"/>
    <w:rsid w:val="000D0183"/>
    <w:rsid w:val="000D23B1"/>
    <w:rsid w:val="000D47E2"/>
    <w:rsid w:val="000D7178"/>
    <w:rsid w:val="000E3603"/>
    <w:rsid w:val="000F290E"/>
    <w:rsid w:val="000F36D8"/>
    <w:rsid w:val="00116934"/>
    <w:rsid w:val="00122EBA"/>
    <w:rsid w:val="0013033E"/>
    <w:rsid w:val="0013105B"/>
    <w:rsid w:val="0013358C"/>
    <w:rsid w:val="00143F1F"/>
    <w:rsid w:val="00156BD8"/>
    <w:rsid w:val="00161F09"/>
    <w:rsid w:val="0016522A"/>
    <w:rsid w:val="00173336"/>
    <w:rsid w:val="00176253"/>
    <w:rsid w:val="00176C2E"/>
    <w:rsid w:val="00194A0A"/>
    <w:rsid w:val="001B0B45"/>
    <w:rsid w:val="001C540B"/>
    <w:rsid w:val="001D009A"/>
    <w:rsid w:val="001D7728"/>
    <w:rsid w:val="001E1D5E"/>
    <w:rsid w:val="001E2EB0"/>
    <w:rsid w:val="001E467F"/>
    <w:rsid w:val="001E6FC3"/>
    <w:rsid w:val="001E75DC"/>
    <w:rsid w:val="001F74E5"/>
    <w:rsid w:val="00201B1D"/>
    <w:rsid w:val="00213259"/>
    <w:rsid w:val="00222293"/>
    <w:rsid w:val="00222848"/>
    <w:rsid w:val="00224F6C"/>
    <w:rsid w:val="00232FE4"/>
    <w:rsid w:val="0023392D"/>
    <w:rsid w:val="00241748"/>
    <w:rsid w:val="00245131"/>
    <w:rsid w:val="00250324"/>
    <w:rsid w:val="00254BCE"/>
    <w:rsid w:val="002640F1"/>
    <w:rsid w:val="00264209"/>
    <w:rsid w:val="0026683B"/>
    <w:rsid w:val="002772EC"/>
    <w:rsid w:val="002873D7"/>
    <w:rsid w:val="00290E60"/>
    <w:rsid w:val="00295099"/>
    <w:rsid w:val="002A34F3"/>
    <w:rsid w:val="002A35A8"/>
    <w:rsid w:val="002A688F"/>
    <w:rsid w:val="002B1968"/>
    <w:rsid w:val="002C3E17"/>
    <w:rsid w:val="002E1227"/>
    <w:rsid w:val="002E192A"/>
    <w:rsid w:val="002E2B30"/>
    <w:rsid w:val="002E33D4"/>
    <w:rsid w:val="00312723"/>
    <w:rsid w:val="00316EB3"/>
    <w:rsid w:val="00324A87"/>
    <w:rsid w:val="0033511A"/>
    <w:rsid w:val="00336089"/>
    <w:rsid w:val="00350AC4"/>
    <w:rsid w:val="0035136C"/>
    <w:rsid w:val="003552D8"/>
    <w:rsid w:val="00361F24"/>
    <w:rsid w:val="00365432"/>
    <w:rsid w:val="00365C95"/>
    <w:rsid w:val="00371326"/>
    <w:rsid w:val="00373CDC"/>
    <w:rsid w:val="003800A2"/>
    <w:rsid w:val="003A196A"/>
    <w:rsid w:val="003B0C7E"/>
    <w:rsid w:val="003C5C09"/>
    <w:rsid w:val="003D51C3"/>
    <w:rsid w:val="003D7FD3"/>
    <w:rsid w:val="003E48C8"/>
    <w:rsid w:val="003F15DE"/>
    <w:rsid w:val="003F5505"/>
    <w:rsid w:val="003F61F7"/>
    <w:rsid w:val="00402F12"/>
    <w:rsid w:val="00407265"/>
    <w:rsid w:val="004072DE"/>
    <w:rsid w:val="004112D2"/>
    <w:rsid w:val="0041698F"/>
    <w:rsid w:val="00426F3A"/>
    <w:rsid w:val="00427C0D"/>
    <w:rsid w:val="004359E1"/>
    <w:rsid w:val="00442AB5"/>
    <w:rsid w:val="00444B96"/>
    <w:rsid w:val="00452BF6"/>
    <w:rsid w:val="00452C5E"/>
    <w:rsid w:val="00456191"/>
    <w:rsid w:val="0045621B"/>
    <w:rsid w:val="004623D9"/>
    <w:rsid w:val="004635E2"/>
    <w:rsid w:val="004645CD"/>
    <w:rsid w:val="00465EBF"/>
    <w:rsid w:val="00467F2D"/>
    <w:rsid w:val="00471023"/>
    <w:rsid w:val="004720C0"/>
    <w:rsid w:val="00485D3C"/>
    <w:rsid w:val="00492D0F"/>
    <w:rsid w:val="00495BA2"/>
    <w:rsid w:val="004A4B83"/>
    <w:rsid w:val="004B5D4D"/>
    <w:rsid w:val="004B714F"/>
    <w:rsid w:val="004B72D0"/>
    <w:rsid w:val="004C18C9"/>
    <w:rsid w:val="004C6604"/>
    <w:rsid w:val="004D40BB"/>
    <w:rsid w:val="004D6FB9"/>
    <w:rsid w:val="004E4EE4"/>
    <w:rsid w:val="004E529A"/>
    <w:rsid w:val="004F0DA3"/>
    <w:rsid w:val="004F1B8A"/>
    <w:rsid w:val="004F2ABC"/>
    <w:rsid w:val="004F4F56"/>
    <w:rsid w:val="00504D87"/>
    <w:rsid w:val="005103BF"/>
    <w:rsid w:val="00517A42"/>
    <w:rsid w:val="0052761E"/>
    <w:rsid w:val="005370DB"/>
    <w:rsid w:val="00557DA6"/>
    <w:rsid w:val="00570239"/>
    <w:rsid w:val="0057155E"/>
    <w:rsid w:val="00582D4F"/>
    <w:rsid w:val="005B7E78"/>
    <w:rsid w:val="005C23BB"/>
    <w:rsid w:val="005C3AFA"/>
    <w:rsid w:val="005C6D7A"/>
    <w:rsid w:val="005D0469"/>
    <w:rsid w:val="005D3652"/>
    <w:rsid w:val="005D77FA"/>
    <w:rsid w:val="005E432D"/>
    <w:rsid w:val="005E6400"/>
    <w:rsid w:val="005E6FB3"/>
    <w:rsid w:val="005F1587"/>
    <w:rsid w:val="005F21E7"/>
    <w:rsid w:val="0061041B"/>
    <w:rsid w:val="00611044"/>
    <w:rsid w:val="006151CF"/>
    <w:rsid w:val="006308EB"/>
    <w:rsid w:val="00633CD7"/>
    <w:rsid w:val="00641BF9"/>
    <w:rsid w:val="00644257"/>
    <w:rsid w:val="006459C0"/>
    <w:rsid w:val="00647840"/>
    <w:rsid w:val="006673FB"/>
    <w:rsid w:val="00672F12"/>
    <w:rsid w:val="0067678A"/>
    <w:rsid w:val="0067693C"/>
    <w:rsid w:val="00682871"/>
    <w:rsid w:val="00684C53"/>
    <w:rsid w:val="00692B06"/>
    <w:rsid w:val="00693C6F"/>
    <w:rsid w:val="00694EAA"/>
    <w:rsid w:val="00696AE0"/>
    <w:rsid w:val="006B6392"/>
    <w:rsid w:val="006B754E"/>
    <w:rsid w:val="006C52F4"/>
    <w:rsid w:val="006C71F1"/>
    <w:rsid w:val="006D61F6"/>
    <w:rsid w:val="006E2564"/>
    <w:rsid w:val="006F1912"/>
    <w:rsid w:val="006F555E"/>
    <w:rsid w:val="0072575A"/>
    <w:rsid w:val="00734CC7"/>
    <w:rsid w:val="0074566C"/>
    <w:rsid w:val="0074687C"/>
    <w:rsid w:val="0077307D"/>
    <w:rsid w:val="00773A64"/>
    <w:rsid w:val="007744E2"/>
    <w:rsid w:val="00787023"/>
    <w:rsid w:val="007933F8"/>
    <w:rsid w:val="007959AE"/>
    <w:rsid w:val="007962FB"/>
    <w:rsid w:val="007A6BD0"/>
    <w:rsid w:val="007C0BDE"/>
    <w:rsid w:val="007D638F"/>
    <w:rsid w:val="007D7DEF"/>
    <w:rsid w:val="007E1D2E"/>
    <w:rsid w:val="007F2CA5"/>
    <w:rsid w:val="007F687A"/>
    <w:rsid w:val="00800118"/>
    <w:rsid w:val="008039A5"/>
    <w:rsid w:val="008233F2"/>
    <w:rsid w:val="00826ECD"/>
    <w:rsid w:val="00840A37"/>
    <w:rsid w:val="00852138"/>
    <w:rsid w:val="008534A3"/>
    <w:rsid w:val="00862A88"/>
    <w:rsid w:val="008828AF"/>
    <w:rsid w:val="00882A09"/>
    <w:rsid w:val="008878DA"/>
    <w:rsid w:val="00890455"/>
    <w:rsid w:val="008919C6"/>
    <w:rsid w:val="00893CE9"/>
    <w:rsid w:val="008942DF"/>
    <w:rsid w:val="008A154C"/>
    <w:rsid w:val="008A1A84"/>
    <w:rsid w:val="008B1FCE"/>
    <w:rsid w:val="008C600B"/>
    <w:rsid w:val="008D3874"/>
    <w:rsid w:val="008D66EC"/>
    <w:rsid w:val="008D6842"/>
    <w:rsid w:val="008E26CB"/>
    <w:rsid w:val="008E5B3F"/>
    <w:rsid w:val="008E6D89"/>
    <w:rsid w:val="008F4760"/>
    <w:rsid w:val="008F5DB8"/>
    <w:rsid w:val="00902910"/>
    <w:rsid w:val="009161FD"/>
    <w:rsid w:val="009206AF"/>
    <w:rsid w:val="00920AE2"/>
    <w:rsid w:val="00920E38"/>
    <w:rsid w:val="009229D0"/>
    <w:rsid w:val="009329F9"/>
    <w:rsid w:val="00933F47"/>
    <w:rsid w:val="00937CCC"/>
    <w:rsid w:val="009805FA"/>
    <w:rsid w:val="0098089C"/>
    <w:rsid w:val="00987073"/>
    <w:rsid w:val="00995E23"/>
    <w:rsid w:val="009A1D4A"/>
    <w:rsid w:val="009A58CC"/>
    <w:rsid w:val="009A5E9A"/>
    <w:rsid w:val="009B3028"/>
    <w:rsid w:val="009D2621"/>
    <w:rsid w:val="009D4D1C"/>
    <w:rsid w:val="009E5C27"/>
    <w:rsid w:val="009E74B7"/>
    <w:rsid w:val="00A010B4"/>
    <w:rsid w:val="00A039A5"/>
    <w:rsid w:val="00A04686"/>
    <w:rsid w:val="00A218CA"/>
    <w:rsid w:val="00A21CB9"/>
    <w:rsid w:val="00A21CEE"/>
    <w:rsid w:val="00A313D8"/>
    <w:rsid w:val="00A32179"/>
    <w:rsid w:val="00A354BA"/>
    <w:rsid w:val="00A35E9A"/>
    <w:rsid w:val="00A40F86"/>
    <w:rsid w:val="00A412C7"/>
    <w:rsid w:val="00A52480"/>
    <w:rsid w:val="00A537E9"/>
    <w:rsid w:val="00A74BA4"/>
    <w:rsid w:val="00A86727"/>
    <w:rsid w:val="00AA7822"/>
    <w:rsid w:val="00AB1A3E"/>
    <w:rsid w:val="00AB738B"/>
    <w:rsid w:val="00AC0198"/>
    <w:rsid w:val="00AC2EA4"/>
    <w:rsid w:val="00AC3240"/>
    <w:rsid w:val="00AC4D83"/>
    <w:rsid w:val="00AC5C98"/>
    <w:rsid w:val="00AC6615"/>
    <w:rsid w:val="00AC780C"/>
    <w:rsid w:val="00AD474F"/>
    <w:rsid w:val="00AD57C5"/>
    <w:rsid w:val="00AE1F3E"/>
    <w:rsid w:val="00AE5EA2"/>
    <w:rsid w:val="00AE7039"/>
    <w:rsid w:val="00AF3E0D"/>
    <w:rsid w:val="00AF6555"/>
    <w:rsid w:val="00AF6C66"/>
    <w:rsid w:val="00AF7A1A"/>
    <w:rsid w:val="00B01001"/>
    <w:rsid w:val="00B022E4"/>
    <w:rsid w:val="00B1227E"/>
    <w:rsid w:val="00B14628"/>
    <w:rsid w:val="00B23C3B"/>
    <w:rsid w:val="00B302CB"/>
    <w:rsid w:val="00B30917"/>
    <w:rsid w:val="00B36BA1"/>
    <w:rsid w:val="00B46C38"/>
    <w:rsid w:val="00B47409"/>
    <w:rsid w:val="00B535C6"/>
    <w:rsid w:val="00B64662"/>
    <w:rsid w:val="00B67DB1"/>
    <w:rsid w:val="00B84682"/>
    <w:rsid w:val="00B901BB"/>
    <w:rsid w:val="00B91288"/>
    <w:rsid w:val="00B9423B"/>
    <w:rsid w:val="00BA1C0A"/>
    <w:rsid w:val="00BA1C8D"/>
    <w:rsid w:val="00BA26F9"/>
    <w:rsid w:val="00BA67BF"/>
    <w:rsid w:val="00BB3B27"/>
    <w:rsid w:val="00BB4D93"/>
    <w:rsid w:val="00BD0123"/>
    <w:rsid w:val="00BD53BC"/>
    <w:rsid w:val="00BD5F42"/>
    <w:rsid w:val="00BE704D"/>
    <w:rsid w:val="00BF1131"/>
    <w:rsid w:val="00C057D6"/>
    <w:rsid w:val="00C16C75"/>
    <w:rsid w:val="00C2320F"/>
    <w:rsid w:val="00C25310"/>
    <w:rsid w:val="00C27FA3"/>
    <w:rsid w:val="00C3354A"/>
    <w:rsid w:val="00C34ADF"/>
    <w:rsid w:val="00C350BF"/>
    <w:rsid w:val="00C46646"/>
    <w:rsid w:val="00C6616C"/>
    <w:rsid w:val="00C75CCF"/>
    <w:rsid w:val="00C77207"/>
    <w:rsid w:val="00C81867"/>
    <w:rsid w:val="00C86F43"/>
    <w:rsid w:val="00C922DF"/>
    <w:rsid w:val="00C953DA"/>
    <w:rsid w:val="00C955A8"/>
    <w:rsid w:val="00CA4351"/>
    <w:rsid w:val="00CB45FE"/>
    <w:rsid w:val="00CC3891"/>
    <w:rsid w:val="00CC3E9D"/>
    <w:rsid w:val="00CC6673"/>
    <w:rsid w:val="00CD1E88"/>
    <w:rsid w:val="00CD2BEE"/>
    <w:rsid w:val="00CD3788"/>
    <w:rsid w:val="00CD3B2E"/>
    <w:rsid w:val="00CF5A2A"/>
    <w:rsid w:val="00D12C51"/>
    <w:rsid w:val="00D163EB"/>
    <w:rsid w:val="00D20770"/>
    <w:rsid w:val="00D259EA"/>
    <w:rsid w:val="00D27140"/>
    <w:rsid w:val="00D31C2C"/>
    <w:rsid w:val="00D43049"/>
    <w:rsid w:val="00D43304"/>
    <w:rsid w:val="00D4411D"/>
    <w:rsid w:val="00D517D1"/>
    <w:rsid w:val="00D55E61"/>
    <w:rsid w:val="00D574EE"/>
    <w:rsid w:val="00D774CC"/>
    <w:rsid w:val="00DA1338"/>
    <w:rsid w:val="00DB30C2"/>
    <w:rsid w:val="00DC0673"/>
    <w:rsid w:val="00DC1584"/>
    <w:rsid w:val="00DD6EC8"/>
    <w:rsid w:val="00DE48ED"/>
    <w:rsid w:val="00DE5918"/>
    <w:rsid w:val="00DE7E8F"/>
    <w:rsid w:val="00DF1FE6"/>
    <w:rsid w:val="00DF5BB0"/>
    <w:rsid w:val="00E0220C"/>
    <w:rsid w:val="00E14874"/>
    <w:rsid w:val="00E16709"/>
    <w:rsid w:val="00E26FE0"/>
    <w:rsid w:val="00E27DCD"/>
    <w:rsid w:val="00E3529B"/>
    <w:rsid w:val="00E3715B"/>
    <w:rsid w:val="00E473DA"/>
    <w:rsid w:val="00E55112"/>
    <w:rsid w:val="00E60932"/>
    <w:rsid w:val="00E72698"/>
    <w:rsid w:val="00E75B82"/>
    <w:rsid w:val="00E769BC"/>
    <w:rsid w:val="00E810DD"/>
    <w:rsid w:val="00E848FA"/>
    <w:rsid w:val="00E84D69"/>
    <w:rsid w:val="00E85C70"/>
    <w:rsid w:val="00E95D18"/>
    <w:rsid w:val="00E96848"/>
    <w:rsid w:val="00EA1A2A"/>
    <w:rsid w:val="00EB4B5F"/>
    <w:rsid w:val="00EC5C7F"/>
    <w:rsid w:val="00EC65EE"/>
    <w:rsid w:val="00EC664D"/>
    <w:rsid w:val="00ED197D"/>
    <w:rsid w:val="00EE0091"/>
    <w:rsid w:val="00EE1BC5"/>
    <w:rsid w:val="00EE1BDB"/>
    <w:rsid w:val="00EE509E"/>
    <w:rsid w:val="00F13DAD"/>
    <w:rsid w:val="00F171CD"/>
    <w:rsid w:val="00F23A4A"/>
    <w:rsid w:val="00F23EBD"/>
    <w:rsid w:val="00F23FC9"/>
    <w:rsid w:val="00F34BE2"/>
    <w:rsid w:val="00F4634A"/>
    <w:rsid w:val="00F46873"/>
    <w:rsid w:val="00F51FF1"/>
    <w:rsid w:val="00F574C3"/>
    <w:rsid w:val="00F57E2E"/>
    <w:rsid w:val="00F61D70"/>
    <w:rsid w:val="00F62C2B"/>
    <w:rsid w:val="00F70D7E"/>
    <w:rsid w:val="00F75510"/>
    <w:rsid w:val="00F84223"/>
    <w:rsid w:val="00F84BDD"/>
    <w:rsid w:val="00F84C50"/>
    <w:rsid w:val="00F862A3"/>
    <w:rsid w:val="00F95073"/>
    <w:rsid w:val="00FA1131"/>
    <w:rsid w:val="00FA1A04"/>
    <w:rsid w:val="00FB177E"/>
    <w:rsid w:val="00FD6710"/>
    <w:rsid w:val="00FE302A"/>
    <w:rsid w:val="00FE62BA"/>
    <w:rsid w:val="00FF59CF"/>
    <w:rsid w:val="00FF6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CDFCC3"/>
  <w15:chartTrackingRefBased/>
  <w15:docId w15:val="{DC34EDB8-BEE0-4487-8F09-E11811D4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2BA"/>
    <w:pPr>
      <w:spacing w:before="120" w:after="120"/>
    </w:pPr>
  </w:style>
  <w:style w:type="paragraph" w:styleId="Titre1">
    <w:name w:val="heading 1"/>
    <w:basedOn w:val="Normal"/>
    <w:next w:val="Normal"/>
    <w:link w:val="Titre1Car"/>
    <w:uiPriority w:val="9"/>
    <w:qFormat/>
    <w:rsid w:val="00122EBA"/>
    <w:pPr>
      <w:keepNext/>
      <w:keepLines/>
      <w:spacing w:before="360" w:after="80"/>
      <w:outlineLvl w:val="0"/>
    </w:pPr>
    <w:rPr>
      <w:rFonts w:asciiTheme="majorHAnsi" w:eastAsiaTheme="majorEastAsia" w:hAnsiTheme="majorHAnsi" w:cstheme="majorBidi"/>
      <w:color w:val="003481" w:themeColor="accent2" w:themeShade="BF"/>
      <w:sz w:val="32"/>
      <w:szCs w:val="40"/>
    </w:rPr>
  </w:style>
  <w:style w:type="paragraph" w:styleId="Titre2">
    <w:name w:val="heading 2"/>
    <w:basedOn w:val="Normal"/>
    <w:next w:val="Normal"/>
    <w:link w:val="Titre2Car"/>
    <w:uiPriority w:val="9"/>
    <w:unhideWhenUsed/>
    <w:qFormat/>
    <w:rsid w:val="00122EBA"/>
    <w:pPr>
      <w:keepNext/>
      <w:keepLines/>
      <w:spacing w:before="40" w:after="0"/>
      <w:outlineLvl w:val="1"/>
    </w:pPr>
    <w:rPr>
      <w:rFonts w:asciiTheme="majorHAnsi" w:eastAsiaTheme="majorEastAsia" w:hAnsiTheme="majorHAnsi" w:cstheme="majorBidi"/>
      <w:color w:val="003481" w:themeColor="accent2" w:themeShade="BF"/>
      <w:sz w:val="28"/>
      <w:szCs w:val="26"/>
    </w:rPr>
  </w:style>
  <w:style w:type="paragraph" w:styleId="Titre3">
    <w:name w:val="heading 3"/>
    <w:basedOn w:val="Normal"/>
    <w:next w:val="Normal"/>
    <w:link w:val="Titre3Car"/>
    <w:uiPriority w:val="9"/>
    <w:unhideWhenUsed/>
    <w:qFormat/>
    <w:rsid w:val="00122EBA"/>
    <w:pPr>
      <w:keepNext/>
      <w:keepLines/>
      <w:spacing w:before="160" w:after="80"/>
      <w:outlineLvl w:val="2"/>
    </w:pPr>
    <w:rPr>
      <w:rFonts w:eastAsiaTheme="majorEastAsia" w:cstheme="majorBidi"/>
      <w:color w:val="003481" w:themeColor="accent2" w:themeShade="BF"/>
      <w:sz w:val="24"/>
      <w:szCs w:val="28"/>
    </w:rPr>
  </w:style>
  <w:style w:type="paragraph" w:styleId="Titre4">
    <w:name w:val="heading 4"/>
    <w:basedOn w:val="Normal"/>
    <w:next w:val="Normal"/>
    <w:link w:val="Titre4Car"/>
    <w:uiPriority w:val="9"/>
    <w:unhideWhenUsed/>
    <w:qFormat/>
    <w:rsid w:val="00122EBA"/>
    <w:pPr>
      <w:keepNext/>
      <w:keepLines/>
      <w:spacing w:before="80" w:after="40"/>
      <w:outlineLvl w:val="3"/>
    </w:pPr>
    <w:rPr>
      <w:rFonts w:eastAsiaTheme="majorEastAsia" w:cstheme="majorBidi"/>
      <w:iCs/>
      <w:color w:val="003481" w:themeColor="accent2" w:themeShade="BF"/>
      <w:sz w:val="20"/>
    </w:rPr>
  </w:style>
  <w:style w:type="paragraph" w:styleId="Titre5">
    <w:name w:val="heading 5"/>
    <w:basedOn w:val="Normal"/>
    <w:next w:val="Normal"/>
    <w:link w:val="Titre5Car"/>
    <w:uiPriority w:val="9"/>
    <w:semiHidden/>
    <w:unhideWhenUsed/>
    <w:qFormat/>
    <w:rsid w:val="00F62C2B"/>
    <w:pPr>
      <w:keepNext/>
      <w:keepLines/>
      <w:spacing w:before="80" w:after="40"/>
      <w:outlineLvl w:val="4"/>
    </w:pPr>
    <w:rPr>
      <w:rFonts w:eastAsiaTheme="majorEastAsia" w:cstheme="majorBidi"/>
      <w:color w:val="081B2C" w:themeColor="accent1" w:themeShade="BF"/>
    </w:rPr>
  </w:style>
  <w:style w:type="paragraph" w:styleId="Titre6">
    <w:name w:val="heading 6"/>
    <w:basedOn w:val="Normal"/>
    <w:next w:val="Normal"/>
    <w:link w:val="Titre6Car"/>
    <w:uiPriority w:val="9"/>
    <w:semiHidden/>
    <w:unhideWhenUsed/>
    <w:qFormat/>
    <w:rsid w:val="00F62C2B"/>
    <w:pPr>
      <w:keepNext/>
      <w:keepLines/>
      <w:spacing w:before="40" w:after="0"/>
      <w:outlineLvl w:val="5"/>
    </w:pPr>
    <w:rPr>
      <w:rFonts w:eastAsiaTheme="majorEastAsia" w:cstheme="majorBidi"/>
      <w:i/>
      <w:iCs/>
      <w:color w:val="4FFDC8" w:themeColor="text1" w:themeTint="A6"/>
    </w:rPr>
  </w:style>
  <w:style w:type="paragraph" w:styleId="Titre7">
    <w:name w:val="heading 7"/>
    <w:basedOn w:val="Normal"/>
    <w:next w:val="Normal"/>
    <w:link w:val="Titre7Car"/>
    <w:uiPriority w:val="9"/>
    <w:semiHidden/>
    <w:unhideWhenUsed/>
    <w:qFormat/>
    <w:rsid w:val="00F62C2B"/>
    <w:pPr>
      <w:keepNext/>
      <w:keepLines/>
      <w:spacing w:before="40" w:after="0"/>
      <w:outlineLvl w:val="6"/>
    </w:pPr>
    <w:rPr>
      <w:rFonts w:eastAsiaTheme="majorEastAsia" w:cstheme="majorBidi"/>
      <w:color w:val="4FFDC8" w:themeColor="text1" w:themeTint="A6"/>
    </w:rPr>
  </w:style>
  <w:style w:type="paragraph" w:styleId="Titre8">
    <w:name w:val="heading 8"/>
    <w:basedOn w:val="Normal"/>
    <w:next w:val="Normal"/>
    <w:link w:val="Titre8Car"/>
    <w:uiPriority w:val="9"/>
    <w:semiHidden/>
    <w:unhideWhenUsed/>
    <w:qFormat/>
    <w:rsid w:val="00F62C2B"/>
    <w:pPr>
      <w:keepNext/>
      <w:keepLines/>
      <w:spacing w:after="0"/>
      <w:outlineLvl w:val="7"/>
    </w:pPr>
    <w:rPr>
      <w:rFonts w:eastAsiaTheme="majorEastAsia" w:cstheme="majorBidi"/>
      <w:i/>
      <w:iCs/>
      <w:color w:val="1AFDB8" w:themeColor="text1" w:themeTint="D8"/>
    </w:rPr>
  </w:style>
  <w:style w:type="paragraph" w:styleId="Titre9">
    <w:name w:val="heading 9"/>
    <w:basedOn w:val="Normal"/>
    <w:next w:val="Normal"/>
    <w:link w:val="Titre9Car"/>
    <w:uiPriority w:val="9"/>
    <w:semiHidden/>
    <w:unhideWhenUsed/>
    <w:qFormat/>
    <w:rsid w:val="00F62C2B"/>
    <w:pPr>
      <w:keepNext/>
      <w:keepLines/>
      <w:spacing w:after="0"/>
      <w:outlineLvl w:val="8"/>
    </w:pPr>
    <w:rPr>
      <w:rFonts w:eastAsiaTheme="majorEastAsia" w:cstheme="majorBidi"/>
      <w:color w:val="1AFDB8"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22EBA"/>
    <w:rPr>
      <w:rFonts w:asciiTheme="majorHAnsi" w:eastAsiaTheme="majorEastAsia" w:hAnsiTheme="majorHAnsi" w:cstheme="majorBidi"/>
      <w:color w:val="003481" w:themeColor="accent2" w:themeShade="BF"/>
      <w:sz w:val="28"/>
      <w:szCs w:val="26"/>
    </w:rPr>
  </w:style>
  <w:style w:type="character" w:customStyle="1" w:styleId="Titre1Car">
    <w:name w:val="Titre 1 Car"/>
    <w:basedOn w:val="Policepardfaut"/>
    <w:link w:val="Titre1"/>
    <w:uiPriority w:val="9"/>
    <w:rsid w:val="00122EBA"/>
    <w:rPr>
      <w:rFonts w:asciiTheme="majorHAnsi" w:eastAsiaTheme="majorEastAsia" w:hAnsiTheme="majorHAnsi" w:cstheme="majorBidi"/>
      <w:color w:val="003481" w:themeColor="accent2" w:themeShade="BF"/>
      <w:sz w:val="32"/>
      <w:szCs w:val="40"/>
    </w:rPr>
  </w:style>
  <w:style w:type="character" w:customStyle="1" w:styleId="Titre3Car">
    <w:name w:val="Titre 3 Car"/>
    <w:basedOn w:val="Policepardfaut"/>
    <w:link w:val="Titre3"/>
    <w:uiPriority w:val="9"/>
    <w:rsid w:val="00122EBA"/>
    <w:rPr>
      <w:rFonts w:eastAsiaTheme="majorEastAsia" w:cstheme="majorBidi"/>
      <w:color w:val="003481" w:themeColor="accent2" w:themeShade="BF"/>
      <w:sz w:val="24"/>
      <w:szCs w:val="28"/>
    </w:rPr>
  </w:style>
  <w:style w:type="character" w:customStyle="1" w:styleId="Titre4Car">
    <w:name w:val="Titre 4 Car"/>
    <w:basedOn w:val="Policepardfaut"/>
    <w:link w:val="Titre4"/>
    <w:uiPriority w:val="9"/>
    <w:rsid w:val="00122EBA"/>
    <w:rPr>
      <w:rFonts w:eastAsiaTheme="majorEastAsia" w:cstheme="majorBidi"/>
      <w:iCs/>
      <w:color w:val="003481" w:themeColor="accent2" w:themeShade="BF"/>
      <w:sz w:val="20"/>
    </w:rPr>
  </w:style>
  <w:style w:type="character" w:customStyle="1" w:styleId="Titre5Car">
    <w:name w:val="Titre 5 Car"/>
    <w:basedOn w:val="Policepardfaut"/>
    <w:link w:val="Titre5"/>
    <w:uiPriority w:val="9"/>
    <w:semiHidden/>
    <w:rsid w:val="00F62C2B"/>
    <w:rPr>
      <w:rFonts w:eastAsiaTheme="majorEastAsia" w:cstheme="majorBidi"/>
      <w:color w:val="081B2C" w:themeColor="accent1" w:themeShade="BF"/>
    </w:rPr>
  </w:style>
  <w:style w:type="character" w:customStyle="1" w:styleId="Titre6Car">
    <w:name w:val="Titre 6 Car"/>
    <w:basedOn w:val="Policepardfaut"/>
    <w:link w:val="Titre6"/>
    <w:uiPriority w:val="9"/>
    <w:semiHidden/>
    <w:rsid w:val="00F62C2B"/>
    <w:rPr>
      <w:rFonts w:eastAsiaTheme="majorEastAsia" w:cstheme="majorBidi"/>
      <w:i/>
      <w:iCs/>
      <w:color w:val="4FFDC8" w:themeColor="text1" w:themeTint="A6"/>
    </w:rPr>
  </w:style>
  <w:style w:type="character" w:customStyle="1" w:styleId="Titre7Car">
    <w:name w:val="Titre 7 Car"/>
    <w:basedOn w:val="Policepardfaut"/>
    <w:link w:val="Titre7"/>
    <w:uiPriority w:val="9"/>
    <w:semiHidden/>
    <w:rsid w:val="00F62C2B"/>
    <w:rPr>
      <w:rFonts w:eastAsiaTheme="majorEastAsia" w:cstheme="majorBidi"/>
      <w:color w:val="4FFDC8" w:themeColor="text1" w:themeTint="A6"/>
    </w:rPr>
  </w:style>
  <w:style w:type="character" w:customStyle="1" w:styleId="Titre8Car">
    <w:name w:val="Titre 8 Car"/>
    <w:basedOn w:val="Policepardfaut"/>
    <w:link w:val="Titre8"/>
    <w:uiPriority w:val="9"/>
    <w:semiHidden/>
    <w:rsid w:val="00F62C2B"/>
    <w:rPr>
      <w:rFonts w:eastAsiaTheme="majorEastAsia" w:cstheme="majorBidi"/>
      <w:i/>
      <w:iCs/>
      <w:color w:val="1AFDB8" w:themeColor="text1" w:themeTint="D8"/>
    </w:rPr>
  </w:style>
  <w:style w:type="character" w:customStyle="1" w:styleId="Titre9Car">
    <w:name w:val="Titre 9 Car"/>
    <w:basedOn w:val="Policepardfaut"/>
    <w:link w:val="Titre9"/>
    <w:uiPriority w:val="9"/>
    <w:semiHidden/>
    <w:rsid w:val="00F62C2B"/>
    <w:rPr>
      <w:rFonts w:eastAsiaTheme="majorEastAsia" w:cstheme="majorBidi"/>
      <w:color w:val="1AFDB8" w:themeColor="text1" w:themeTint="D8"/>
    </w:rPr>
  </w:style>
  <w:style w:type="paragraph" w:styleId="Titre">
    <w:name w:val="Title"/>
    <w:basedOn w:val="Normal"/>
    <w:next w:val="Normal"/>
    <w:link w:val="TitreCar"/>
    <w:uiPriority w:val="10"/>
    <w:qFormat/>
    <w:rsid w:val="00F62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2C2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2C2B"/>
    <w:pPr>
      <w:numPr>
        <w:ilvl w:val="1"/>
      </w:numPr>
    </w:pPr>
    <w:rPr>
      <w:rFonts w:eastAsiaTheme="majorEastAsia" w:cstheme="majorBidi"/>
      <w:color w:val="4FFDC8" w:themeColor="text1" w:themeTint="A6"/>
      <w:spacing w:val="15"/>
      <w:sz w:val="28"/>
      <w:szCs w:val="28"/>
    </w:rPr>
  </w:style>
  <w:style w:type="character" w:customStyle="1" w:styleId="Sous-titreCar">
    <w:name w:val="Sous-titre Car"/>
    <w:basedOn w:val="Policepardfaut"/>
    <w:link w:val="Sous-titre"/>
    <w:uiPriority w:val="11"/>
    <w:rsid w:val="00F62C2B"/>
    <w:rPr>
      <w:rFonts w:eastAsiaTheme="majorEastAsia" w:cstheme="majorBidi"/>
      <w:color w:val="4FFDC8" w:themeColor="text1" w:themeTint="A6"/>
      <w:spacing w:val="15"/>
      <w:sz w:val="28"/>
      <w:szCs w:val="28"/>
    </w:rPr>
  </w:style>
  <w:style w:type="paragraph" w:styleId="Citation">
    <w:name w:val="Quote"/>
    <w:basedOn w:val="Normal"/>
    <w:next w:val="Normal"/>
    <w:link w:val="CitationCar"/>
    <w:uiPriority w:val="29"/>
    <w:qFormat/>
    <w:rsid w:val="00F62C2B"/>
    <w:pPr>
      <w:spacing w:before="160"/>
      <w:jc w:val="center"/>
    </w:pPr>
    <w:rPr>
      <w:i/>
      <w:iCs/>
      <w:color w:val="34FDC0" w:themeColor="text1" w:themeTint="BF"/>
    </w:rPr>
  </w:style>
  <w:style w:type="character" w:customStyle="1" w:styleId="CitationCar">
    <w:name w:val="Citation Car"/>
    <w:basedOn w:val="Policepardfaut"/>
    <w:link w:val="Citation"/>
    <w:uiPriority w:val="29"/>
    <w:rsid w:val="00F62C2B"/>
    <w:rPr>
      <w:i/>
      <w:iCs/>
      <w:color w:val="34FDC0" w:themeColor="text1" w:themeTint="BF"/>
    </w:rPr>
  </w:style>
  <w:style w:type="paragraph" w:styleId="Paragraphedeliste">
    <w:name w:val="List Paragraph"/>
    <w:basedOn w:val="Normal"/>
    <w:uiPriority w:val="34"/>
    <w:qFormat/>
    <w:rsid w:val="00F62C2B"/>
    <w:pPr>
      <w:ind w:left="720"/>
      <w:contextualSpacing/>
    </w:pPr>
  </w:style>
  <w:style w:type="character" w:styleId="Accentuationintense">
    <w:name w:val="Intense Emphasis"/>
    <w:basedOn w:val="Policepardfaut"/>
    <w:uiPriority w:val="21"/>
    <w:qFormat/>
    <w:rsid w:val="00F62C2B"/>
    <w:rPr>
      <w:i/>
      <w:iCs/>
      <w:color w:val="081B2C" w:themeColor="accent1" w:themeShade="BF"/>
    </w:rPr>
  </w:style>
  <w:style w:type="paragraph" w:styleId="Citationintense">
    <w:name w:val="Intense Quote"/>
    <w:basedOn w:val="Normal"/>
    <w:next w:val="Normal"/>
    <w:link w:val="CitationintenseCar"/>
    <w:uiPriority w:val="30"/>
    <w:qFormat/>
    <w:rsid w:val="00F62C2B"/>
    <w:pPr>
      <w:pBdr>
        <w:top w:val="single" w:sz="4" w:space="10" w:color="081B2C" w:themeColor="accent1" w:themeShade="BF"/>
        <w:bottom w:val="single" w:sz="4" w:space="10" w:color="081B2C" w:themeColor="accent1" w:themeShade="BF"/>
      </w:pBdr>
      <w:spacing w:before="360" w:after="360"/>
      <w:ind w:left="864" w:right="864"/>
      <w:jc w:val="center"/>
    </w:pPr>
    <w:rPr>
      <w:i/>
      <w:iCs/>
      <w:color w:val="081B2C" w:themeColor="accent1" w:themeShade="BF"/>
    </w:rPr>
  </w:style>
  <w:style w:type="character" w:customStyle="1" w:styleId="CitationintenseCar">
    <w:name w:val="Citation intense Car"/>
    <w:basedOn w:val="Policepardfaut"/>
    <w:link w:val="Citationintense"/>
    <w:uiPriority w:val="30"/>
    <w:rsid w:val="00F62C2B"/>
    <w:rPr>
      <w:i/>
      <w:iCs/>
      <w:color w:val="081B2C" w:themeColor="accent1" w:themeShade="BF"/>
    </w:rPr>
  </w:style>
  <w:style w:type="character" w:styleId="Rfrenceintense">
    <w:name w:val="Intense Reference"/>
    <w:basedOn w:val="Policepardfaut"/>
    <w:uiPriority w:val="32"/>
    <w:qFormat/>
    <w:rsid w:val="00F62C2B"/>
    <w:rPr>
      <w:b/>
      <w:bCs/>
      <w:smallCaps/>
      <w:color w:val="081B2C" w:themeColor="accent1" w:themeShade="BF"/>
      <w:spacing w:val="5"/>
    </w:rPr>
  </w:style>
  <w:style w:type="table" w:styleId="Grilledutableau">
    <w:name w:val="Table Grid"/>
    <w:basedOn w:val="TableauNormal"/>
    <w:uiPriority w:val="39"/>
    <w:rsid w:val="00DF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E26CB"/>
    <w:rPr>
      <w:color w:val="000000" w:themeColor="hyperlink"/>
      <w:u w:val="single"/>
    </w:rPr>
  </w:style>
  <w:style w:type="character" w:styleId="Mentionnonrsolue">
    <w:name w:val="Unresolved Mention"/>
    <w:basedOn w:val="Policepardfaut"/>
    <w:uiPriority w:val="99"/>
    <w:semiHidden/>
    <w:unhideWhenUsed/>
    <w:rsid w:val="008E26CB"/>
    <w:rPr>
      <w:color w:val="605E5C"/>
      <w:shd w:val="clear" w:color="auto" w:fill="E1DFDD"/>
    </w:rPr>
  </w:style>
  <w:style w:type="table" w:styleId="TableauGrille1Clair-Accentuation1">
    <w:name w:val="Grid Table 1 Light Accent 1"/>
    <w:basedOn w:val="TableauNormal"/>
    <w:uiPriority w:val="46"/>
    <w:rsid w:val="009E74B7"/>
    <w:pPr>
      <w:spacing w:after="0" w:line="240" w:lineRule="auto"/>
    </w:pPr>
    <w:tblPr>
      <w:tblStyleRowBandSize w:val="1"/>
      <w:tblStyleColBandSize w:val="1"/>
      <w:tblBorders>
        <w:top w:val="single" w:sz="4" w:space="0" w:color="6AABE3" w:themeColor="accent1" w:themeTint="66"/>
        <w:left w:val="single" w:sz="4" w:space="0" w:color="6AABE3" w:themeColor="accent1" w:themeTint="66"/>
        <w:bottom w:val="single" w:sz="4" w:space="0" w:color="6AABE3" w:themeColor="accent1" w:themeTint="66"/>
        <w:right w:val="single" w:sz="4" w:space="0" w:color="6AABE3" w:themeColor="accent1" w:themeTint="66"/>
        <w:insideH w:val="single" w:sz="4" w:space="0" w:color="6AABE3" w:themeColor="accent1" w:themeTint="66"/>
        <w:insideV w:val="single" w:sz="4" w:space="0" w:color="6AABE3" w:themeColor="accent1" w:themeTint="66"/>
      </w:tblBorders>
    </w:tblPr>
    <w:tblStylePr w:type="firstRow">
      <w:rPr>
        <w:b/>
        <w:bCs/>
      </w:rPr>
      <w:tblPr/>
      <w:tcPr>
        <w:tcBorders>
          <w:bottom w:val="single" w:sz="12" w:space="0" w:color="2681CF" w:themeColor="accent1" w:themeTint="99"/>
        </w:tcBorders>
      </w:tcPr>
    </w:tblStylePr>
    <w:tblStylePr w:type="lastRow">
      <w:rPr>
        <w:b/>
        <w:bCs/>
      </w:rPr>
      <w:tblPr/>
      <w:tcPr>
        <w:tcBorders>
          <w:top w:val="double" w:sz="2" w:space="0" w:color="2681CF" w:themeColor="accent1"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B535C6"/>
    <w:pPr>
      <w:spacing w:after="0" w:line="240" w:lineRule="auto"/>
    </w:pPr>
    <w:tblPr>
      <w:tblStyleRowBandSize w:val="1"/>
      <w:tblStyleColBandSize w:val="1"/>
      <w:tblBorders>
        <w:top w:val="single" w:sz="4" w:space="0" w:color="85C8FF" w:themeColor="accent3" w:themeTint="66"/>
        <w:left w:val="single" w:sz="4" w:space="0" w:color="85C8FF" w:themeColor="accent3" w:themeTint="66"/>
        <w:bottom w:val="single" w:sz="4" w:space="0" w:color="85C8FF" w:themeColor="accent3" w:themeTint="66"/>
        <w:right w:val="single" w:sz="4" w:space="0" w:color="85C8FF" w:themeColor="accent3" w:themeTint="66"/>
        <w:insideH w:val="single" w:sz="4" w:space="0" w:color="85C8FF" w:themeColor="accent3" w:themeTint="66"/>
        <w:insideV w:val="single" w:sz="4" w:space="0" w:color="85C8FF" w:themeColor="accent3" w:themeTint="66"/>
      </w:tblBorders>
    </w:tblPr>
    <w:tblStylePr w:type="firstRow">
      <w:rPr>
        <w:b/>
        <w:bCs/>
      </w:rPr>
      <w:tblPr/>
      <w:tcPr>
        <w:tcBorders>
          <w:bottom w:val="single" w:sz="12" w:space="0" w:color="48ADFF" w:themeColor="accent3" w:themeTint="99"/>
        </w:tcBorders>
      </w:tcPr>
    </w:tblStylePr>
    <w:tblStylePr w:type="lastRow">
      <w:rPr>
        <w:b/>
        <w:bCs/>
      </w:rPr>
      <w:tblPr/>
      <w:tcPr>
        <w:tcBorders>
          <w:top w:val="double" w:sz="2" w:space="0" w:color="48ADFF" w:themeColor="accent3" w:themeTint="99"/>
        </w:tcBorders>
      </w:tcPr>
    </w:tblStylePr>
    <w:tblStylePr w:type="firstCol">
      <w:rPr>
        <w:b/>
        <w:bCs/>
      </w:rPr>
    </w:tblStylePr>
    <w:tblStylePr w:type="lastCol">
      <w:rPr>
        <w:b/>
        <w:bCs/>
      </w:rPr>
    </w:tblStylePr>
  </w:style>
  <w:style w:type="paragraph" w:styleId="En-tte">
    <w:name w:val="header"/>
    <w:basedOn w:val="Normal"/>
    <w:link w:val="En-tteCar"/>
    <w:uiPriority w:val="99"/>
    <w:unhideWhenUsed/>
    <w:rsid w:val="00156BD8"/>
    <w:pPr>
      <w:tabs>
        <w:tab w:val="center" w:pos="4536"/>
        <w:tab w:val="right" w:pos="9072"/>
      </w:tabs>
      <w:spacing w:before="0" w:after="0" w:line="240" w:lineRule="auto"/>
    </w:pPr>
  </w:style>
  <w:style w:type="character" w:customStyle="1" w:styleId="En-tteCar">
    <w:name w:val="En-tête Car"/>
    <w:basedOn w:val="Policepardfaut"/>
    <w:link w:val="En-tte"/>
    <w:uiPriority w:val="99"/>
    <w:rsid w:val="00156BD8"/>
  </w:style>
  <w:style w:type="paragraph" w:styleId="Pieddepage">
    <w:name w:val="footer"/>
    <w:basedOn w:val="Normal"/>
    <w:link w:val="PieddepageCar"/>
    <w:uiPriority w:val="99"/>
    <w:unhideWhenUsed/>
    <w:rsid w:val="00156BD8"/>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156BD8"/>
  </w:style>
  <w:style w:type="paragraph" w:styleId="Rvision">
    <w:name w:val="Revision"/>
    <w:hidden/>
    <w:uiPriority w:val="99"/>
    <w:semiHidden/>
    <w:rsid w:val="00E3715B"/>
    <w:pPr>
      <w:spacing w:after="0" w:line="240" w:lineRule="auto"/>
    </w:pPr>
  </w:style>
  <w:style w:type="character" w:styleId="Marquedecommentaire">
    <w:name w:val="annotation reference"/>
    <w:basedOn w:val="Policepardfaut"/>
    <w:uiPriority w:val="99"/>
    <w:semiHidden/>
    <w:unhideWhenUsed/>
    <w:rsid w:val="00D20770"/>
    <w:rPr>
      <w:sz w:val="16"/>
      <w:szCs w:val="16"/>
    </w:rPr>
  </w:style>
  <w:style w:type="paragraph" w:styleId="Commentaire">
    <w:name w:val="annotation text"/>
    <w:basedOn w:val="Normal"/>
    <w:link w:val="CommentaireCar"/>
    <w:uiPriority w:val="99"/>
    <w:unhideWhenUsed/>
    <w:rsid w:val="00D20770"/>
    <w:pPr>
      <w:spacing w:line="240" w:lineRule="auto"/>
    </w:pPr>
    <w:rPr>
      <w:sz w:val="20"/>
      <w:szCs w:val="20"/>
    </w:rPr>
  </w:style>
  <w:style w:type="character" w:customStyle="1" w:styleId="CommentaireCar">
    <w:name w:val="Commentaire Car"/>
    <w:basedOn w:val="Policepardfaut"/>
    <w:link w:val="Commentaire"/>
    <w:uiPriority w:val="99"/>
    <w:rsid w:val="00D20770"/>
    <w:rPr>
      <w:sz w:val="20"/>
      <w:szCs w:val="20"/>
    </w:rPr>
  </w:style>
  <w:style w:type="paragraph" w:styleId="Objetducommentaire">
    <w:name w:val="annotation subject"/>
    <w:basedOn w:val="Commentaire"/>
    <w:next w:val="Commentaire"/>
    <w:link w:val="ObjetducommentaireCar"/>
    <w:uiPriority w:val="99"/>
    <w:semiHidden/>
    <w:unhideWhenUsed/>
    <w:rsid w:val="00D20770"/>
    <w:rPr>
      <w:b/>
      <w:bCs/>
    </w:rPr>
  </w:style>
  <w:style w:type="character" w:customStyle="1" w:styleId="ObjetducommentaireCar">
    <w:name w:val="Objet du commentaire Car"/>
    <w:basedOn w:val="CommentaireCar"/>
    <w:link w:val="Objetducommentaire"/>
    <w:uiPriority w:val="99"/>
    <w:semiHidden/>
    <w:rsid w:val="00D207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3386">
      <w:bodyDiv w:val="1"/>
      <w:marLeft w:val="0"/>
      <w:marRight w:val="0"/>
      <w:marTop w:val="0"/>
      <w:marBottom w:val="0"/>
      <w:divBdr>
        <w:top w:val="none" w:sz="0" w:space="0" w:color="auto"/>
        <w:left w:val="none" w:sz="0" w:space="0" w:color="auto"/>
        <w:bottom w:val="none" w:sz="0" w:space="0" w:color="auto"/>
        <w:right w:val="none" w:sz="0" w:space="0" w:color="auto"/>
      </w:divBdr>
    </w:div>
    <w:div w:id="310061827">
      <w:bodyDiv w:val="1"/>
      <w:marLeft w:val="0"/>
      <w:marRight w:val="0"/>
      <w:marTop w:val="0"/>
      <w:marBottom w:val="0"/>
      <w:divBdr>
        <w:top w:val="none" w:sz="0" w:space="0" w:color="auto"/>
        <w:left w:val="none" w:sz="0" w:space="0" w:color="auto"/>
        <w:bottom w:val="none" w:sz="0" w:space="0" w:color="auto"/>
        <w:right w:val="none" w:sz="0" w:space="0" w:color="auto"/>
      </w:divBdr>
    </w:div>
    <w:div w:id="15457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TUV brand">
      <a:dk1>
        <a:srgbClr val="02ECA6"/>
      </a:dk1>
      <a:lt1>
        <a:srgbClr val="0046AD"/>
      </a:lt1>
      <a:dk2>
        <a:srgbClr val="FFFFFF"/>
      </a:dk2>
      <a:lt2>
        <a:srgbClr val="000000"/>
      </a:lt2>
      <a:accent1>
        <a:srgbClr val="0B253B"/>
      </a:accent1>
      <a:accent2>
        <a:srgbClr val="0046AD"/>
      </a:accent2>
      <a:accent3>
        <a:srgbClr val="0072CE"/>
      </a:accent3>
      <a:accent4>
        <a:srgbClr val="92C1E9"/>
      </a:accent4>
      <a:accent5>
        <a:srgbClr val="02ECA6"/>
      </a:accent5>
      <a:accent6>
        <a:srgbClr val="FF774B"/>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BBB4A2C08DCF4A9BDCC69C0F9DBDE8" ma:contentTypeVersion="15" ma:contentTypeDescription="Een nieuw document maken." ma:contentTypeScope="" ma:versionID="659b8c8c5fe058e09e13aebf38c985c9">
  <xsd:schema xmlns:xsd="http://www.w3.org/2001/XMLSchema" xmlns:xs="http://www.w3.org/2001/XMLSchema" xmlns:p="http://schemas.microsoft.com/office/2006/metadata/properties" xmlns:ns2="ee6e5335-fea2-4460-99d3-0cc285006dc3" xmlns:ns3="1310b9fd-eb51-47a2-9b6b-944b6f939095" targetNamespace="http://schemas.microsoft.com/office/2006/metadata/properties" ma:root="true" ma:fieldsID="bdf31cf5f20399120aab403f8df91d46" ns2:_="" ns3:_="">
    <xsd:import namespace="ee6e5335-fea2-4460-99d3-0cc285006dc3"/>
    <xsd:import namespace="1310b9fd-eb51-47a2-9b6b-944b6f9390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e5335-fea2-4460-99d3-0cc285006dc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47dd910d-54ba-455e-8c56-10965ad1b11f}" ma:internalName="TaxCatchAll" ma:showField="CatchAllData" ma:web="ee6e5335-fea2-4460-99d3-0cc285006d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10b9fd-eb51-47a2-9b6b-944b6f9390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c3c8c9f-f0c4-4caa-baf3-6e36a29055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10b9fd-eb51-47a2-9b6b-944b6f939095">
      <Terms xmlns="http://schemas.microsoft.com/office/infopath/2007/PartnerControls"/>
    </lcf76f155ced4ddcb4097134ff3c332f>
    <TaxCatchAll xmlns="ee6e5335-fea2-4460-99d3-0cc285006dc3" xsi:nil="true"/>
  </documentManagement>
</p:properties>
</file>

<file path=customXml/itemProps1.xml><?xml version="1.0" encoding="utf-8"?>
<ds:datastoreItem xmlns:ds="http://schemas.openxmlformats.org/officeDocument/2006/customXml" ds:itemID="{F392079C-0A6D-4EBB-85CB-0B38EE51D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e5335-fea2-4460-99d3-0cc285006dc3"/>
    <ds:schemaRef ds:uri="1310b9fd-eb51-47a2-9b6b-944b6f939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73707-9595-4204-AFEE-74D36EC4807A}">
  <ds:schemaRefs>
    <ds:schemaRef ds:uri="http://schemas.microsoft.com/sharepoint/v3/contenttype/forms"/>
  </ds:schemaRefs>
</ds:datastoreItem>
</file>

<file path=customXml/itemProps3.xml><?xml version="1.0" encoding="utf-8"?>
<ds:datastoreItem xmlns:ds="http://schemas.openxmlformats.org/officeDocument/2006/customXml" ds:itemID="{20DFD689-AAD5-4111-A52B-928813C8A45A}">
  <ds:schemaRefs>
    <ds:schemaRef ds:uri="http://schemas.microsoft.com/office/2006/metadata/properties"/>
    <ds:schemaRef ds:uri="http://schemas.microsoft.com/office/infopath/2007/PartnerControls"/>
    <ds:schemaRef ds:uri="1310b9fd-eb51-47a2-9b6b-944b6f939095"/>
    <ds:schemaRef ds:uri="ee6e5335-fea2-4460-99d3-0cc285006dc3"/>
  </ds:schemaRefs>
</ds:datastoreItem>
</file>

<file path=docMetadata/LabelInfo.xml><?xml version="1.0" encoding="utf-8"?>
<clbl:labelList xmlns:clbl="http://schemas.microsoft.com/office/2020/mipLabelMetadata">
  <clbl:label id="{948094c8-480e-400b-91c4-c984b7e20814}" enabled="1" method="Standard" siteId="{a1109567-0815-4e1f-88af-e23555482aaa}" removed="0"/>
</clbl:labelList>
</file>

<file path=docProps/app.xml><?xml version="1.0" encoding="utf-8"?>
<Properties xmlns="http://schemas.openxmlformats.org/officeDocument/2006/extended-properties" xmlns:vt="http://schemas.openxmlformats.org/officeDocument/2006/docPropsVTypes">
  <Template>Normal</Template>
  <TotalTime>22</TotalTime>
  <Pages>3</Pages>
  <Words>1283</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Batchen, Ashleigh</dc:creator>
  <cp:keywords/>
  <dc:description/>
  <cp:lastModifiedBy>Françoise Schlemmer</cp:lastModifiedBy>
  <cp:revision>8</cp:revision>
  <dcterms:created xsi:type="dcterms:W3CDTF">2025-10-06T12:19:00Z</dcterms:created>
  <dcterms:modified xsi:type="dcterms:W3CDTF">2025-10-06T12:52:00Z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0x01010029BBB4A2C08DCF4A9BDCC69C0F9DBDE8</vt:lpwstr>
  </property>
</Properties>
</file>